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5429" w14:textId="41000063" w:rsidR="00073FEC" w:rsidRDefault="00073FEC" w:rsidP="00073FEC">
      <w:pPr>
        <w:jc w:val="center"/>
        <w:rPr>
          <w:lang w:val="en-US"/>
        </w:rPr>
      </w:pPr>
      <w:bookmarkStart w:id="0" w:name="_GoBack"/>
      <w:bookmarkEnd w:id="0"/>
    </w:p>
    <w:p w14:paraId="3ECE64E3" w14:textId="08326115" w:rsidR="00EF2F69" w:rsidRDefault="00EF2F69" w:rsidP="001B254C">
      <w:pPr>
        <w:pStyle w:val="CSMLS-Heading"/>
        <w:spacing w:before="100" w:after="100"/>
      </w:pPr>
      <w:r w:rsidRPr="009A71B8">
        <w:t xml:space="preserve">Ethics </w:t>
      </w:r>
      <w:r>
        <w:t>o</w:t>
      </w:r>
      <w:r w:rsidRPr="009A71B8">
        <w:t>n Demand</w:t>
      </w:r>
      <w:r>
        <w:t xml:space="preserve"> – </w:t>
      </w:r>
      <w:r w:rsidR="0001481A">
        <w:t>Whistle Blowing</w:t>
      </w:r>
    </w:p>
    <w:p w14:paraId="38A3B229" w14:textId="77777777" w:rsidR="00EF2F69" w:rsidRDefault="00EF2F69" w:rsidP="00B75685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AA110BC" w14:textId="026A646D" w:rsidR="00073FEC" w:rsidRPr="00EF2F69" w:rsidRDefault="00073FEC" w:rsidP="00B75685">
      <w:pPr>
        <w:spacing w:after="0"/>
        <w:rPr>
          <w:rFonts w:ascii="Century Gothic" w:hAnsi="Century Gothic"/>
          <w:b/>
          <w:sz w:val="20"/>
          <w:szCs w:val="20"/>
        </w:rPr>
      </w:pPr>
      <w:r w:rsidRPr="00EF2F69">
        <w:rPr>
          <w:rFonts w:ascii="Century Gothic" w:hAnsi="Century Gothic"/>
          <w:b/>
          <w:sz w:val="20"/>
          <w:szCs w:val="20"/>
        </w:rPr>
        <w:t xml:space="preserve">Article: </w:t>
      </w:r>
      <w:hyperlink r:id="rId8" w:history="1">
        <w:r w:rsidR="0001481A" w:rsidRPr="0001481A">
          <w:rPr>
            <w:rStyle w:val="Hyperlink"/>
          </w:rPr>
          <w:t>Heredity or hoax?</w:t>
        </w:r>
      </w:hyperlink>
    </w:p>
    <w:p w14:paraId="400BF24F" w14:textId="45CB52C9" w:rsidR="00073FEC" w:rsidRPr="00EF2F69" w:rsidRDefault="00073FEC" w:rsidP="00EF2F69">
      <w:pPr>
        <w:spacing w:before="120"/>
        <w:rPr>
          <w:rFonts w:ascii="Century Gothic" w:hAnsi="Century Gothic"/>
          <w:b/>
          <w:sz w:val="20"/>
          <w:szCs w:val="20"/>
        </w:rPr>
      </w:pPr>
      <w:r w:rsidRPr="00EF2F69">
        <w:rPr>
          <w:rFonts w:ascii="Century Gothic" w:hAnsi="Century Gothic"/>
          <w:b/>
          <w:sz w:val="20"/>
          <w:szCs w:val="20"/>
        </w:rPr>
        <w:t>What was the situation?</w:t>
      </w:r>
    </w:p>
    <w:p w14:paraId="3235971C" w14:textId="23D611C6" w:rsidR="0001481A" w:rsidRDefault="0001481A" w:rsidP="0001481A">
      <w:pPr>
        <w:rPr>
          <w:rFonts w:ascii="Rockwell" w:hAnsi="Rockwell"/>
        </w:rPr>
      </w:pPr>
      <w:r w:rsidRPr="0001481A">
        <w:rPr>
          <w:rFonts w:ascii="Rockwell" w:hAnsi="Rockwell"/>
        </w:rPr>
        <w:t xml:space="preserve">Louis </w:t>
      </w:r>
      <w:proofErr w:type="spellStart"/>
      <w:r w:rsidRPr="0001481A">
        <w:rPr>
          <w:rFonts w:ascii="Rockwell" w:hAnsi="Rockwell"/>
        </w:rPr>
        <w:t>Côté</w:t>
      </w:r>
      <w:proofErr w:type="spellEnd"/>
      <w:r w:rsidRPr="0001481A">
        <w:rPr>
          <w:rFonts w:ascii="Rockwell" w:hAnsi="Rockwell"/>
        </w:rPr>
        <w:t xml:space="preserve"> </w:t>
      </w:r>
      <w:r w:rsidR="001D725F">
        <w:rPr>
          <w:rFonts w:ascii="Rockwell" w:hAnsi="Rockwell"/>
        </w:rPr>
        <w:t>was</w:t>
      </w:r>
      <w:r w:rsidR="001D725F" w:rsidRPr="0001481A">
        <w:rPr>
          <w:rFonts w:ascii="Rockwell" w:hAnsi="Rockwell"/>
        </w:rPr>
        <w:t xml:space="preserve"> </w:t>
      </w:r>
      <w:r w:rsidRPr="0001481A">
        <w:rPr>
          <w:rFonts w:ascii="Rockwell" w:hAnsi="Rockwell"/>
        </w:rPr>
        <w:t xml:space="preserve">suspicious of </w:t>
      </w:r>
      <w:proofErr w:type="spellStart"/>
      <w:r w:rsidR="00474094" w:rsidRPr="00474094">
        <w:rPr>
          <w:rFonts w:ascii="Rockwell" w:hAnsi="Rockwell"/>
        </w:rPr>
        <w:t>Viaguard</w:t>
      </w:r>
      <w:proofErr w:type="spellEnd"/>
      <w:r w:rsidR="00474094" w:rsidRPr="00474094">
        <w:rPr>
          <w:rFonts w:ascii="Rockwell" w:hAnsi="Rockwell"/>
        </w:rPr>
        <w:t xml:space="preserve"> </w:t>
      </w:r>
      <w:proofErr w:type="spellStart"/>
      <w:r w:rsidR="00474094" w:rsidRPr="00474094">
        <w:rPr>
          <w:rFonts w:ascii="Rockwell" w:hAnsi="Rockwell"/>
        </w:rPr>
        <w:t>Accu</w:t>
      </w:r>
      <w:proofErr w:type="spellEnd"/>
      <w:r w:rsidR="00474094" w:rsidRPr="00474094">
        <w:rPr>
          <w:rFonts w:ascii="Rockwell" w:hAnsi="Rockwell"/>
        </w:rPr>
        <w:t xml:space="preserve">-Metrics </w:t>
      </w:r>
      <w:r w:rsidR="00474094">
        <w:rPr>
          <w:rFonts w:ascii="Rockwell" w:hAnsi="Rockwell"/>
        </w:rPr>
        <w:t xml:space="preserve">kits </w:t>
      </w:r>
      <w:r w:rsidRPr="0001481A">
        <w:rPr>
          <w:rFonts w:ascii="Rockwell" w:hAnsi="Rockwell"/>
        </w:rPr>
        <w:t xml:space="preserve">that </w:t>
      </w:r>
      <w:r w:rsidR="00474094">
        <w:rPr>
          <w:rFonts w:ascii="Rockwell" w:hAnsi="Rockwell"/>
        </w:rPr>
        <w:t xml:space="preserve">test human </w:t>
      </w:r>
      <w:r w:rsidRPr="0001481A">
        <w:rPr>
          <w:rFonts w:ascii="Rockwell" w:hAnsi="Rockwell"/>
        </w:rPr>
        <w:t>DNA to determine ancestry</w:t>
      </w:r>
      <w:r w:rsidR="00474094">
        <w:rPr>
          <w:rFonts w:ascii="Rockwell" w:hAnsi="Rockwell"/>
        </w:rPr>
        <w:t>. He</w:t>
      </w:r>
      <w:r w:rsidRPr="0001481A">
        <w:rPr>
          <w:rFonts w:ascii="Rockwell" w:hAnsi="Rockwell"/>
        </w:rPr>
        <w:t xml:space="preserve"> decided to try an experiment by submitting a sample from </w:t>
      </w:r>
      <w:r w:rsidR="00474094">
        <w:rPr>
          <w:rFonts w:ascii="Rockwell" w:hAnsi="Rockwell"/>
        </w:rPr>
        <w:t xml:space="preserve">himself and a </w:t>
      </w:r>
      <w:r w:rsidRPr="0001481A">
        <w:rPr>
          <w:rFonts w:ascii="Rockwell" w:hAnsi="Rockwell"/>
        </w:rPr>
        <w:t>dog.</w:t>
      </w:r>
      <w:r w:rsidRPr="0001481A">
        <w:t xml:space="preserve"> </w:t>
      </w:r>
      <w:r w:rsidRPr="0001481A">
        <w:rPr>
          <w:rFonts w:ascii="Rockwell" w:hAnsi="Rockwell"/>
        </w:rPr>
        <w:t>The test results were identical</w:t>
      </w:r>
      <w:r w:rsidR="001D725F">
        <w:rPr>
          <w:rFonts w:ascii="Rockwell" w:hAnsi="Rockwell"/>
        </w:rPr>
        <w:t>.</w:t>
      </w:r>
      <w:r w:rsidR="00474094">
        <w:rPr>
          <w:rFonts w:ascii="Rockwell" w:hAnsi="Rockwell"/>
        </w:rPr>
        <w:t>,</w:t>
      </w:r>
      <w:r w:rsidRPr="0001481A">
        <w:rPr>
          <w:rFonts w:ascii="Rockwell" w:hAnsi="Rockwell"/>
        </w:rPr>
        <w:t xml:space="preserve"> </w:t>
      </w:r>
      <w:r w:rsidR="001D725F">
        <w:rPr>
          <w:rFonts w:ascii="Rockwell" w:hAnsi="Rockwell"/>
        </w:rPr>
        <w:t>B</w:t>
      </w:r>
      <w:r w:rsidRPr="0001481A">
        <w:rPr>
          <w:rFonts w:ascii="Rockwell" w:hAnsi="Rockwell"/>
        </w:rPr>
        <w:t xml:space="preserve">oth </w:t>
      </w:r>
      <w:proofErr w:type="spellStart"/>
      <w:r w:rsidRPr="0001481A">
        <w:rPr>
          <w:rFonts w:ascii="Rockwell" w:hAnsi="Rockwell"/>
        </w:rPr>
        <w:t>Côté</w:t>
      </w:r>
      <w:proofErr w:type="spellEnd"/>
      <w:r w:rsidRPr="0001481A">
        <w:rPr>
          <w:rFonts w:ascii="Rockwell" w:hAnsi="Rockwell"/>
        </w:rPr>
        <w:t xml:space="preserve"> and Snoopy </w:t>
      </w:r>
      <w:r>
        <w:rPr>
          <w:rFonts w:ascii="Rockwell" w:hAnsi="Rockwell"/>
        </w:rPr>
        <w:t>(</w:t>
      </w:r>
      <w:r w:rsidR="00474094">
        <w:rPr>
          <w:rFonts w:ascii="Rockwell" w:hAnsi="Rockwell"/>
        </w:rPr>
        <w:t xml:space="preserve">the </w:t>
      </w:r>
      <w:r>
        <w:rPr>
          <w:rFonts w:ascii="Rockwell" w:hAnsi="Rockwell"/>
        </w:rPr>
        <w:t xml:space="preserve">dog) </w:t>
      </w:r>
      <w:r w:rsidRPr="0001481A">
        <w:rPr>
          <w:rFonts w:ascii="Rockwell" w:hAnsi="Rockwell"/>
        </w:rPr>
        <w:t>had 20 per cent Native American ancestry.</w:t>
      </w:r>
      <w:r w:rsidRPr="0001481A">
        <w:t xml:space="preserve"> </w:t>
      </w:r>
      <w:proofErr w:type="spellStart"/>
      <w:r w:rsidR="00474094" w:rsidRPr="0001481A">
        <w:rPr>
          <w:rFonts w:ascii="Rockwell" w:hAnsi="Rockwell"/>
        </w:rPr>
        <w:t>Côté</w:t>
      </w:r>
      <w:proofErr w:type="spellEnd"/>
      <w:r w:rsidR="00474094" w:rsidRPr="0001481A">
        <w:rPr>
          <w:rFonts w:ascii="Rockwell" w:hAnsi="Rockwell"/>
        </w:rPr>
        <w:t xml:space="preserve"> </w:t>
      </w:r>
      <w:r w:rsidR="00474094">
        <w:rPr>
          <w:rFonts w:ascii="Rockwell" w:hAnsi="Rockwell"/>
        </w:rPr>
        <w:t>provide</w:t>
      </w:r>
      <w:r w:rsidR="001B254C">
        <w:rPr>
          <w:rFonts w:ascii="Rockwell" w:hAnsi="Rockwell"/>
        </w:rPr>
        <w:t>d</w:t>
      </w:r>
      <w:r w:rsidR="00474094">
        <w:rPr>
          <w:rFonts w:ascii="Rockwell" w:hAnsi="Rockwell"/>
        </w:rPr>
        <w:t xml:space="preserve"> </w:t>
      </w:r>
      <w:r w:rsidR="001B254C">
        <w:rPr>
          <w:rFonts w:ascii="Rockwell" w:hAnsi="Rockwell"/>
        </w:rPr>
        <w:t xml:space="preserve">the </w:t>
      </w:r>
      <w:r w:rsidR="00474094">
        <w:rPr>
          <w:rFonts w:ascii="Rockwell" w:hAnsi="Rockwell"/>
        </w:rPr>
        <w:t>results to CBC News, a whistle blowing action</w:t>
      </w:r>
      <w:r w:rsidR="00634D1C">
        <w:rPr>
          <w:rFonts w:ascii="Rockwell" w:hAnsi="Rockwell"/>
        </w:rPr>
        <w:t xml:space="preserve"> after </w:t>
      </w:r>
      <w:r w:rsidR="001B254C">
        <w:rPr>
          <w:rFonts w:ascii="Rockwell" w:hAnsi="Rockwell"/>
        </w:rPr>
        <w:t xml:space="preserve">solution-seeking </w:t>
      </w:r>
      <w:r w:rsidR="00634D1C">
        <w:rPr>
          <w:rFonts w:ascii="Rockwell" w:hAnsi="Rockwell"/>
        </w:rPr>
        <w:t>attempts failed</w:t>
      </w:r>
      <w:r w:rsidR="00474094">
        <w:rPr>
          <w:rFonts w:ascii="Rockwell" w:hAnsi="Rockwell"/>
        </w:rPr>
        <w:t xml:space="preserve">. </w:t>
      </w:r>
      <w:r w:rsidRPr="0001481A">
        <w:rPr>
          <w:rFonts w:ascii="Rockwell" w:hAnsi="Rockwell"/>
        </w:rPr>
        <w:t xml:space="preserve">To further investigate, CBC News ordered the </w:t>
      </w:r>
      <w:r w:rsidR="00474094">
        <w:rPr>
          <w:rFonts w:ascii="Rockwell" w:hAnsi="Rockwell"/>
        </w:rPr>
        <w:t xml:space="preserve">same DNA </w:t>
      </w:r>
      <w:r w:rsidRPr="0001481A">
        <w:rPr>
          <w:rFonts w:ascii="Rockwell" w:hAnsi="Rockwell"/>
        </w:rPr>
        <w:t xml:space="preserve">kits </w:t>
      </w:r>
      <w:r w:rsidR="00474094">
        <w:rPr>
          <w:rFonts w:ascii="Rockwell" w:hAnsi="Rockwell"/>
        </w:rPr>
        <w:t xml:space="preserve">as well as a kit from a second company. Swabs were obtained from </w:t>
      </w:r>
      <w:r w:rsidRPr="0001481A">
        <w:rPr>
          <w:rFonts w:ascii="Rockwell" w:hAnsi="Rockwell"/>
        </w:rPr>
        <w:t>three newsroom employees</w:t>
      </w:r>
      <w:r w:rsidR="00474094">
        <w:rPr>
          <w:rFonts w:ascii="Rockwell" w:hAnsi="Rockwell"/>
        </w:rPr>
        <w:t xml:space="preserve"> (no known Indigenous ancestry)</w:t>
      </w:r>
      <w:r w:rsidRPr="0001481A">
        <w:rPr>
          <w:rFonts w:ascii="Rockwell" w:hAnsi="Rockwell"/>
        </w:rPr>
        <w:t xml:space="preserve">. </w:t>
      </w:r>
      <w:proofErr w:type="spellStart"/>
      <w:r w:rsidRPr="0001481A">
        <w:rPr>
          <w:rFonts w:ascii="Rockwell" w:hAnsi="Rockwell"/>
        </w:rPr>
        <w:t>Viaguard</w:t>
      </w:r>
      <w:proofErr w:type="spellEnd"/>
      <w:r w:rsidRPr="0001481A">
        <w:rPr>
          <w:rFonts w:ascii="Rockwell" w:hAnsi="Rockwell"/>
        </w:rPr>
        <w:t xml:space="preserve"> sent back results </w:t>
      </w:r>
      <w:r w:rsidR="00474094">
        <w:rPr>
          <w:rFonts w:ascii="Rockwell" w:hAnsi="Rockwell"/>
        </w:rPr>
        <w:t xml:space="preserve">indicating </w:t>
      </w:r>
      <w:r w:rsidRPr="0001481A">
        <w:rPr>
          <w:rFonts w:ascii="Rockwell" w:hAnsi="Rockwell"/>
        </w:rPr>
        <w:t>all three CBC employees had 20 per cent Native American DNA</w:t>
      </w:r>
      <w:r>
        <w:rPr>
          <w:rFonts w:ascii="Rockwell" w:hAnsi="Rockwell"/>
        </w:rPr>
        <w:t xml:space="preserve">, </w:t>
      </w:r>
      <w:r w:rsidR="00474094">
        <w:rPr>
          <w:rFonts w:ascii="Rockwell" w:hAnsi="Rockwell"/>
        </w:rPr>
        <w:t xml:space="preserve">replicating the </w:t>
      </w:r>
      <w:r>
        <w:rPr>
          <w:rFonts w:ascii="Rockwell" w:hAnsi="Rockwell"/>
        </w:rPr>
        <w:t xml:space="preserve">same </w:t>
      </w:r>
      <w:r w:rsidR="00474094">
        <w:rPr>
          <w:rFonts w:ascii="Rockwell" w:hAnsi="Rockwell"/>
        </w:rPr>
        <w:t xml:space="preserve">detailed </w:t>
      </w:r>
      <w:r w:rsidRPr="0001481A">
        <w:rPr>
          <w:rFonts w:ascii="Rockwell" w:hAnsi="Rockwell"/>
        </w:rPr>
        <w:t xml:space="preserve">breakdown </w:t>
      </w:r>
      <w:r w:rsidR="00474094">
        <w:rPr>
          <w:rFonts w:ascii="Rockwell" w:hAnsi="Rockwell"/>
        </w:rPr>
        <w:t xml:space="preserve">as </w:t>
      </w:r>
      <w:proofErr w:type="spellStart"/>
      <w:r w:rsidRPr="0001481A">
        <w:rPr>
          <w:rFonts w:ascii="Rockwell" w:hAnsi="Rockwell"/>
        </w:rPr>
        <w:t>Côté</w:t>
      </w:r>
      <w:proofErr w:type="spellEnd"/>
      <w:r w:rsidRPr="0001481A">
        <w:rPr>
          <w:rFonts w:ascii="Rockwell" w:hAnsi="Rockwell"/>
        </w:rPr>
        <w:t>.</w:t>
      </w:r>
      <w:r w:rsidRPr="0001481A">
        <w:t xml:space="preserve"> </w:t>
      </w:r>
      <w:r w:rsidR="001B254C">
        <w:rPr>
          <w:rFonts w:ascii="Rockwell" w:hAnsi="Rockwell"/>
        </w:rPr>
        <w:t xml:space="preserve">The second testing company </w:t>
      </w:r>
      <w:r w:rsidRPr="0001481A">
        <w:rPr>
          <w:rFonts w:ascii="Rockwell" w:hAnsi="Rockwell"/>
        </w:rPr>
        <w:t>found none of the CBC employees</w:t>
      </w:r>
      <w:r w:rsidR="001B254C">
        <w:rPr>
          <w:rFonts w:ascii="Rockwell" w:hAnsi="Rockwell"/>
        </w:rPr>
        <w:t xml:space="preserve"> were of </w:t>
      </w:r>
      <w:r w:rsidRPr="0001481A">
        <w:rPr>
          <w:rFonts w:ascii="Rockwell" w:hAnsi="Rockwell"/>
        </w:rPr>
        <w:t xml:space="preserve">Native American origin. Harvey Tenenbaum, </w:t>
      </w:r>
      <w:proofErr w:type="spellStart"/>
      <w:r w:rsidRPr="0001481A">
        <w:rPr>
          <w:rFonts w:ascii="Rockwell" w:hAnsi="Rockwell"/>
        </w:rPr>
        <w:t>Viaguard’s</w:t>
      </w:r>
      <w:proofErr w:type="spellEnd"/>
      <w:r w:rsidRPr="0001481A">
        <w:rPr>
          <w:rFonts w:ascii="Rockwell" w:hAnsi="Rockwell"/>
        </w:rPr>
        <w:t xml:space="preserve"> owner and research director, declined repeated requests from CBC News for an interview.</w:t>
      </w:r>
    </w:p>
    <w:p w14:paraId="46C00C3E" w14:textId="6119B4AF" w:rsidR="00073FEC" w:rsidRPr="00EF2F69" w:rsidRDefault="00073FEC" w:rsidP="00EF2F69">
      <w:pPr>
        <w:rPr>
          <w:rFonts w:ascii="Century Gothic" w:hAnsi="Century Gothic"/>
          <w:sz w:val="20"/>
          <w:szCs w:val="20"/>
        </w:rPr>
      </w:pPr>
      <w:r w:rsidRPr="00EF2F69">
        <w:rPr>
          <w:rFonts w:ascii="Century Gothic" w:hAnsi="Century Gothic"/>
          <w:b/>
          <w:sz w:val="20"/>
          <w:szCs w:val="20"/>
        </w:rPr>
        <w:t>What went wrong?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4D1C" w14:paraId="6AEF12C5" w14:textId="77777777" w:rsidTr="00634D1C">
        <w:tc>
          <w:tcPr>
            <w:tcW w:w="3116" w:type="dxa"/>
          </w:tcPr>
          <w:p w14:paraId="3768FBA6" w14:textId="6DE7FDC1" w:rsidR="00634D1C" w:rsidRDefault="00634D1C" w:rsidP="00634D1C">
            <w:pPr>
              <w:jc w:val="center"/>
              <w:rPr>
                <w:rFonts w:ascii="Rockwell" w:hAnsi="Rockwell"/>
              </w:rPr>
            </w:pPr>
            <w:r w:rsidRPr="00190424">
              <w:rPr>
                <w:rFonts w:ascii="Rockwell" w:hAnsi="Rockwell"/>
              </w:rPr>
              <w:t xml:space="preserve">Lack of </w:t>
            </w:r>
            <w:r>
              <w:rPr>
                <w:rFonts w:ascii="Rockwell" w:hAnsi="Rockwell"/>
              </w:rPr>
              <w:t>p</w:t>
            </w:r>
            <w:r w:rsidRPr="00190424">
              <w:rPr>
                <w:rFonts w:ascii="Rockwell" w:hAnsi="Rockwell"/>
              </w:rPr>
              <w:t>rofessional</w:t>
            </w:r>
          </w:p>
          <w:p w14:paraId="00CA0CA3" w14:textId="4E6FACB8" w:rsidR="00634D1C" w:rsidRDefault="001B254C" w:rsidP="00634D1C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</w:t>
            </w:r>
            <w:r w:rsidR="00634D1C" w:rsidRPr="00190424">
              <w:rPr>
                <w:rFonts w:ascii="Rockwell" w:hAnsi="Rockwell"/>
              </w:rPr>
              <w:t>esponsibilit</w:t>
            </w:r>
            <w:r>
              <w:rPr>
                <w:rFonts w:ascii="Rockwell" w:hAnsi="Rockwell"/>
              </w:rPr>
              <w:t>y to report</w:t>
            </w:r>
          </w:p>
        </w:tc>
        <w:tc>
          <w:tcPr>
            <w:tcW w:w="3117" w:type="dxa"/>
          </w:tcPr>
          <w:p w14:paraId="62536A8E" w14:textId="03D4D26D" w:rsidR="00634D1C" w:rsidRDefault="00634D1C" w:rsidP="00634D1C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Disregard of safe practices</w:t>
            </w:r>
          </w:p>
        </w:tc>
        <w:tc>
          <w:tcPr>
            <w:tcW w:w="3117" w:type="dxa"/>
          </w:tcPr>
          <w:p w14:paraId="352BC346" w14:textId="7021DF30" w:rsidR="00634D1C" w:rsidRDefault="00634D1C" w:rsidP="00634D1C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Lack of client </w:t>
            </w:r>
            <w:r w:rsidR="001B254C">
              <w:rPr>
                <w:rFonts w:ascii="Rockwell" w:hAnsi="Rockwell"/>
              </w:rPr>
              <w:t>protection</w:t>
            </w:r>
          </w:p>
        </w:tc>
      </w:tr>
    </w:tbl>
    <w:p w14:paraId="07428905" w14:textId="13060B40" w:rsidR="00073FEC" w:rsidRPr="00EF2F69" w:rsidRDefault="00073FEC" w:rsidP="00634D1C">
      <w:pPr>
        <w:spacing w:before="240"/>
        <w:rPr>
          <w:rFonts w:ascii="Century Gothic" w:hAnsi="Century Gothic"/>
          <w:b/>
          <w:sz w:val="20"/>
          <w:szCs w:val="20"/>
        </w:rPr>
      </w:pPr>
      <w:r w:rsidRPr="00EF2F69">
        <w:rPr>
          <w:rFonts w:ascii="Century Gothic" w:hAnsi="Century Gothic"/>
          <w:b/>
          <w:sz w:val="20"/>
          <w:szCs w:val="20"/>
        </w:rPr>
        <w:t>Using the Code of Ethics</w:t>
      </w:r>
    </w:p>
    <w:p w14:paraId="2D08E436" w14:textId="019E27E5" w:rsidR="00190424" w:rsidRPr="008004FE" w:rsidRDefault="00190424" w:rsidP="00190424">
      <w:pPr>
        <w:rPr>
          <w:rFonts w:ascii="Rockwell" w:hAnsi="Rockwell"/>
        </w:rPr>
      </w:pPr>
      <w:r w:rsidRPr="008004FE">
        <w:rPr>
          <w:rFonts w:ascii="Rockwell" w:hAnsi="Rockwell" w:cs="Arial"/>
        </w:rPr>
        <w:t xml:space="preserve">The </w:t>
      </w:r>
      <w:hyperlink r:id="rId9" w:history="1">
        <w:r w:rsidRPr="008004FE">
          <w:rPr>
            <w:rStyle w:val="Hyperlink"/>
            <w:rFonts w:ascii="Rockwell" w:hAnsi="Rockwell" w:cs="Arial"/>
          </w:rPr>
          <w:t>CSMLS Code of Ethics</w:t>
        </w:r>
      </w:hyperlink>
      <w:r w:rsidRPr="008004FE">
        <w:rPr>
          <w:rFonts w:ascii="Rockwell" w:hAnsi="Rockwell" w:cs="Arial"/>
          <w:color w:val="3F3F3F"/>
        </w:rPr>
        <w:t xml:space="preserve"> </w:t>
      </w:r>
      <w:r w:rsidRPr="008004FE">
        <w:rPr>
          <w:rFonts w:ascii="Rockwell" w:hAnsi="Rockwell" w:cs="Arial"/>
        </w:rPr>
        <w:t xml:space="preserve">serves to define and expand the inherent ethical concepts contained in the </w:t>
      </w:r>
      <w:hyperlink r:id="rId10" w:history="1">
        <w:r w:rsidRPr="00421C04">
          <w:rPr>
            <w:rStyle w:val="Hyperlink"/>
            <w:rFonts w:ascii="Rockwell" w:hAnsi="Rockwell" w:cs="Arial"/>
          </w:rPr>
          <w:t>CSMLS Code of Professional Conduct</w:t>
        </w:r>
      </w:hyperlink>
      <w:r w:rsidRPr="008004FE">
        <w:rPr>
          <w:rFonts w:ascii="Rockwell" w:hAnsi="Rockwell" w:cs="Arial"/>
        </w:rPr>
        <w:t xml:space="preserve">, to document expectations of ethical behaviour for all medical laboratory professionals, and to provide a framework during professional and personal self-evaluation. </w:t>
      </w:r>
      <w:r>
        <w:rPr>
          <w:rFonts w:ascii="Rockwell" w:hAnsi="Rockwell" w:cs="Arial"/>
        </w:rPr>
        <w:t>Consider</w:t>
      </w:r>
      <w:r w:rsidRPr="008004FE">
        <w:rPr>
          <w:rFonts w:ascii="Rockwell" w:hAnsi="Rockwell" w:cs="Arial"/>
        </w:rPr>
        <w:t xml:space="preserve"> how</w:t>
      </w:r>
      <w:r>
        <w:rPr>
          <w:rFonts w:ascii="Rockwell" w:hAnsi="Rockwell" w:cs="Arial"/>
        </w:rPr>
        <w:t xml:space="preserve"> adhering to</w:t>
      </w:r>
      <w:r w:rsidRPr="008004FE">
        <w:rPr>
          <w:rFonts w:ascii="Rockwell" w:hAnsi="Rockwell" w:cs="Arial"/>
        </w:rPr>
        <w:t xml:space="preserve"> these </w:t>
      </w:r>
      <w:r w:rsidR="00C71836">
        <w:rPr>
          <w:rFonts w:ascii="Rockwell" w:hAnsi="Rockwell" w:cs="Arial"/>
        </w:rPr>
        <w:t>c</w:t>
      </w:r>
      <w:r w:rsidRPr="008004FE">
        <w:rPr>
          <w:rFonts w:ascii="Rockwell" w:hAnsi="Rockwell" w:cs="Arial"/>
        </w:rPr>
        <w:t>odes could have prevented the situation</w:t>
      </w:r>
      <w:r>
        <w:rPr>
          <w:rFonts w:ascii="Rockwell" w:hAnsi="Rockwell" w:cs="Arial"/>
        </w:rPr>
        <w:t>.</w:t>
      </w:r>
      <w:r w:rsidRPr="008004FE">
        <w:rPr>
          <w:rFonts w:ascii="Rockwell" w:hAnsi="Rockwell" w:cs="Arial"/>
        </w:rPr>
        <w:t xml:space="preserve"> What other </w:t>
      </w:r>
      <w:r w:rsidR="00C71836">
        <w:rPr>
          <w:rFonts w:ascii="Rockwell" w:hAnsi="Rockwell" w:cs="Arial"/>
        </w:rPr>
        <w:t>c</w:t>
      </w:r>
      <w:r w:rsidRPr="008004FE">
        <w:rPr>
          <w:rFonts w:ascii="Rockwell" w:hAnsi="Rockwell" w:cs="Arial"/>
        </w:rPr>
        <w:t>odes are applicable?</w:t>
      </w:r>
    </w:p>
    <w:p w14:paraId="57FC69E1" w14:textId="77777777" w:rsidR="00B75685" w:rsidRPr="00E80AC8" w:rsidRDefault="00B75685" w:rsidP="00C60084">
      <w:pPr>
        <w:spacing w:after="0"/>
        <w:rPr>
          <w:rFonts w:ascii="Rockwell" w:hAnsi="Rockwell"/>
          <w:i/>
        </w:rPr>
      </w:pPr>
      <w:r w:rsidRPr="00E80AC8">
        <w:rPr>
          <w:rFonts w:ascii="Rockwell" w:hAnsi="Rockwell"/>
          <w:i/>
        </w:rPr>
        <w:t>Code of Ethics</w:t>
      </w:r>
    </w:p>
    <w:p w14:paraId="26D5C8AF" w14:textId="5C8CAA48" w:rsidR="00D5757F" w:rsidRPr="00E80AC8" w:rsidRDefault="00D5757F" w:rsidP="00E80AC8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E80AC8">
        <w:rPr>
          <w:rFonts w:ascii="Rockwell" w:hAnsi="Rockwell"/>
        </w:rPr>
        <w:t>1.4 Utilize professional and institutional mechanisms to intervene when witness to unsafe, incompetent or unethical practices.</w:t>
      </w:r>
    </w:p>
    <w:p w14:paraId="36FD046B" w14:textId="50F42207" w:rsidR="00D5757F" w:rsidRPr="00E80AC8" w:rsidRDefault="00D5757F" w:rsidP="00E80AC8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E80AC8">
        <w:rPr>
          <w:rFonts w:ascii="Rockwell" w:hAnsi="Rockwell"/>
        </w:rPr>
        <w:t>1.5 Assume responsibility for errors one has committed or observed and take immediate action to prevent or minimize associated harm.</w:t>
      </w:r>
    </w:p>
    <w:p w14:paraId="75A09BBD" w14:textId="66D84F75" w:rsidR="00073FEC" w:rsidRPr="00E80AC8" w:rsidRDefault="00D5757F" w:rsidP="00E80AC8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80AC8">
        <w:rPr>
          <w:rFonts w:ascii="Rockwell" w:hAnsi="Rockwell"/>
        </w:rPr>
        <w:t>4.1 Be responsible first to the patient, then to society and the environment for safe and lawful practice and the sustainable use of resources</w:t>
      </w:r>
      <w:r w:rsidR="00B75685" w:rsidRPr="00E80AC8">
        <w:rPr>
          <w:rFonts w:ascii="Rockwell" w:hAnsi="Rockwell"/>
        </w:rPr>
        <w:t>.</w:t>
      </w:r>
      <w:r w:rsidR="00190424" w:rsidRPr="00E80AC8">
        <w:rPr>
          <w:rFonts w:ascii="Rockwell" w:hAnsi="Rockwell"/>
        </w:rPr>
        <w:t xml:space="preserve"> </w:t>
      </w:r>
    </w:p>
    <w:p w14:paraId="31C33067" w14:textId="2D222248" w:rsidR="00B75685" w:rsidRPr="00E80AC8" w:rsidRDefault="00B75685" w:rsidP="00E80AC8">
      <w:pPr>
        <w:spacing w:after="0"/>
        <w:rPr>
          <w:rFonts w:ascii="Rockwell" w:hAnsi="Rockwell"/>
          <w:i/>
        </w:rPr>
      </w:pPr>
      <w:r w:rsidRPr="00E80AC8">
        <w:rPr>
          <w:rFonts w:ascii="Rockwell" w:hAnsi="Rockwell"/>
          <w:i/>
        </w:rPr>
        <w:t>Code of Professional Conduct</w:t>
      </w:r>
    </w:p>
    <w:p w14:paraId="7E2E04FF" w14:textId="136D2A1A" w:rsidR="00B75685" w:rsidRPr="00E80AC8" w:rsidRDefault="00B75685" w:rsidP="00E80AC8">
      <w:pPr>
        <w:pStyle w:val="ListParagraph"/>
        <w:numPr>
          <w:ilvl w:val="0"/>
          <w:numId w:val="4"/>
        </w:numPr>
        <w:spacing w:after="0"/>
        <w:rPr>
          <w:rFonts w:ascii="Rockwell" w:hAnsi="Rockwell"/>
        </w:rPr>
      </w:pPr>
      <w:r w:rsidRPr="00E80AC8">
        <w:rPr>
          <w:rFonts w:ascii="Rockwell" w:hAnsi="Rockwell"/>
        </w:rPr>
        <w:t>Medical laboratory professionals shall take responsibility for their professional acts.</w:t>
      </w:r>
    </w:p>
    <w:p w14:paraId="5DF4DED1" w14:textId="2AF93D2F" w:rsidR="00D5757F" w:rsidRPr="00E80AC8" w:rsidRDefault="00D5757F" w:rsidP="001B254C">
      <w:pPr>
        <w:pStyle w:val="ListParagraph"/>
        <w:numPr>
          <w:ilvl w:val="0"/>
          <w:numId w:val="4"/>
        </w:numPr>
        <w:spacing w:after="100"/>
        <w:rPr>
          <w:rFonts w:ascii="Rockwell" w:hAnsi="Rockwell"/>
        </w:rPr>
      </w:pPr>
      <w:r w:rsidRPr="00E80AC8">
        <w:rPr>
          <w:rFonts w:ascii="Rockwell" w:hAnsi="Rockwell"/>
        </w:rPr>
        <w:t>Medical laboratory professionals shall practise safe work procedures at all times to ensure the safety of patients and co-workers and the protection of the environment</w:t>
      </w:r>
      <w:r w:rsidR="00E80AC8">
        <w:rPr>
          <w:rFonts w:ascii="Rockwell" w:hAnsi="Rockwell"/>
        </w:rPr>
        <w:t>.</w:t>
      </w:r>
    </w:p>
    <w:p w14:paraId="4A9B3A53" w14:textId="77777777" w:rsidR="001B254C" w:rsidRDefault="00474094" w:rsidP="001B254C">
      <w:pPr>
        <w:spacing w:after="20"/>
        <w:rPr>
          <w:b/>
        </w:rPr>
      </w:pPr>
      <w:r>
        <w:rPr>
          <w:b/>
        </w:rPr>
        <w:t>Resource</w:t>
      </w:r>
    </w:p>
    <w:p w14:paraId="25DE6C96" w14:textId="1055E768" w:rsidR="00474094" w:rsidRDefault="00781A99" w:rsidP="001B254C">
      <w:hyperlink r:id="rId11" w:history="1">
        <w:r w:rsidR="00474094" w:rsidRPr="00474094">
          <w:rPr>
            <w:rStyle w:val="Hyperlink"/>
          </w:rPr>
          <w:t>CSMLS Position Statement – Whistleblower</w:t>
        </w:r>
      </w:hyperlink>
      <w:r w:rsidR="00474094">
        <w:t xml:space="preserve"> </w:t>
      </w:r>
    </w:p>
    <w:sectPr w:rsidR="00474094" w:rsidSect="001B254C">
      <w:headerReference w:type="default" r:id="rId12"/>
      <w:footerReference w:type="default" r:id="rId13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700C" w14:textId="77777777" w:rsidR="00781A99" w:rsidRDefault="00781A99" w:rsidP="00073FEC">
      <w:pPr>
        <w:spacing w:after="0" w:line="240" w:lineRule="auto"/>
      </w:pPr>
      <w:r>
        <w:separator/>
      </w:r>
    </w:p>
  </w:endnote>
  <w:endnote w:type="continuationSeparator" w:id="0">
    <w:p w14:paraId="082EC9EE" w14:textId="77777777" w:rsidR="00781A99" w:rsidRDefault="00781A99" w:rsidP="000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C6BD" w14:textId="06613483" w:rsidR="00073FEC" w:rsidRPr="006E1029" w:rsidRDefault="00073FEC" w:rsidP="00073FEC">
    <w:pPr>
      <w:pStyle w:val="ListParagraph"/>
      <w:jc w:val="center"/>
      <w:rPr>
        <w:rFonts w:ascii="Rockwell" w:hAnsi="Rockwell"/>
        <w:sz w:val="18"/>
        <w:szCs w:val="18"/>
      </w:rPr>
    </w:pPr>
    <w:r w:rsidRPr="006E1029">
      <w:rPr>
        <w:rFonts w:ascii="Rockwell" w:hAnsi="Rockwell"/>
        <w:sz w:val="18"/>
        <w:szCs w:val="18"/>
      </w:rPr>
      <w:t xml:space="preserve">Take the </w:t>
    </w:r>
    <w:hyperlink r:id="rId1" w:history="1">
      <w:r w:rsidRPr="006E1029">
        <w:rPr>
          <w:rStyle w:val="Hyperlink"/>
          <w:rFonts w:ascii="Rockwell" w:hAnsi="Rockwell"/>
          <w:sz w:val="18"/>
          <w:szCs w:val="18"/>
        </w:rPr>
        <w:t>free CSMLS Code of Ethics course</w:t>
      </w:r>
    </w:hyperlink>
    <w:r w:rsidRPr="006E1029">
      <w:rPr>
        <w:rFonts w:ascii="Rockwell" w:hAnsi="Rockwell"/>
        <w:sz w:val="18"/>
        <w:szCs w:val="18"/>
      </w:rPr>
      <w:t xml:space="preserve"> today!</w:t>
    </w:r>
  </w:p>
  <w:p w14:paraId="47771FE0" w14:textId="77777777" w:rsidR="00073FEC" w:rsidRDefault="0007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D30A" w14:textId="77777777" w:rsidR="00781A99" w:rsidRDefault="00781A99" w:rsidP="00073FEC">
      <w:pPr>
        <w:spacing w:after="0" w:line="240" w:lineRule="auto"/>
      </w:pPr>
      <w:r>
        <w:separator/>
      </w:r>
    </w:p>
  </w:footnote>
  <w:footnote w:type="continuationSeparator" w:id="0">
    <w:p w14:paraId="3763C0CB" w14:textId="77777777" w:rsidR="00781A99" w:rsidRDefault="00781A99" w:rsidP="000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D48" w14:textId="68B79D1B" w:rsidR="00073FEC" w:rsidRDefault="00073FEC" w:rsidP="00073FE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7130187" wp14:editId="5F2E8763">
          <wp:extent cx="2752725" cy="77192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691" cy="78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80B"/>
    <w:multiLevelType w:val="hybridMultilevel"/>
    <w:tmpl w:val="E5B60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037D"/>
    <w:multiLevelType w:val="hybridMultilevel"/>
    <w:tmpl w:val="261C4D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D7ECC"/>
    <w:multiLevelType w:val="hybridMultilevel"/>
    <w:tmpl w:val="37063D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5A97"/>
    <w:multiLevelType w:val="hybridMultilevel"/>
    <w:tmpl w:val="2ABA753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xNDM2sDQxNDIwNDZV0lEKTi0uzszPAykwrQUAcNHGqywAAAA="/>
  </w:docVars>
  <w:rsids>
    <w:rsidRoot w:val="00073FEC"/>
    <w:rsid w:val="0001481A"/>
    <w:rsid w:val="00034D2D"/>
    <w:rsid w:val="00073FEC"/>
    <w:rsid w:val="000A4A49"/>
    <w:rsid w:val="00136854"/>
    <w:rsid w:val="001516D8"/>
    <w:rsid w:val="00161D4D"/>
    <w:rsid w:val="00190424"/>
    <w:rsid w:val="001B254C"/>
    <w:rsid w:val="001D725F"/>
    <w:rsid w:val="003D7D68"/>
    <w:rsid w:val="00421C04"/>
    <w:rsid w:val="004453F6"/>
    <w:rsid w:val="004646B0"/>
    <w:rsid w:val="00474094"/>
    <w:rsid w:val="004B5C44"/>
    <w:rsid w:val="005260D1"/>
    <w:rsid w:val="00622E59"/>
    <w:rsid w:val="00634D1C"/>
    <w:rsid w:val="00650EBE"/>
    <w:rsid w:val="00674271"/>
    <w:rsid w:val="00684019"/>
    <w:rsid w:val="006A1F11"/>
    <w:rsid w:val="00781A99"/>
    <w:rsid w:val="007A51EA"/>
    <w:rsid w:val="009079E7"/>
    <w:rsid w:val="009643F7"/>
    <w:rsid w:val="009A3B67"/>
    <w:rsid w:val="00A053C0"/>
    <w:rsid w:val="00A62C2E"/>
    <w:rsid w:val="00AA717F"/>
    <w:rsid w:val="00B75685"/>
    <w:rsid w:val="00BD343E"/>
    <w:rsid w:val="00C60084"/>
    <w:rsid w:val="00C71836"/>
    <w:rsid w:val="00D11A7F"/>
    <w:rsid w:val="00D5757F"/>
    <w:rsid w:val="00D60761"/>
    <w:rsid w:val="00DA3897"/>
    <w:rsid w:val="00E24F49"/>
    <w:rsid w:val="00E7367A"/>
    <w:rsid w:val="00E80AC8"/>
    <w:rsid w:val="00EE61E2"/>
    <w:rsid w:val="00EF2F69"/>
    <w:rsid w:val="00F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CC81"/>
  <w15:docId w15:val="{3089FF23-08B7-4BEC-8715-01ADF807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E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EC"/>
    <w:rPr>
      <w:lang w:val="en-CA"/>
    </w:rPr>
  </w:style>
  <w:style w:type="paragraph" w:styleId="ListParagraph">
    <w:name w:val="List Paragraph"/>
    <w:basedOn w:val="Normal"/>
    <w:uiPriority w:val="34"/>
    <w:qFormat/>
    <w:rsid w:val="0007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F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0424"/>
    <w:rPr>
      <w:color w:val="954F72" w:themeColor="followedHyperlink"/>
      <w:u w:val="single"/>
    </w:rPr>
  </w:style>
  <w:style w:type="paragraph" w:customStyle="1" w:styleId="CSMLS-Heading">
    <w:name w:val="CSMLS-Heading"/>
    <w:link w:val="CSMLS-HeadingChar"/>
    <w:qFormat/>
    <w:rsid w:val="00EF2F69"/>
    <w:pPr>
      <w:keepLines/>
      <w:suppressAutoHyphens/>
      <w:spacing w:before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EF2F69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D1"/>
    <w:rPr>
      <w:rFonts w:ascii="Tahoma" w:hAnsi="Tahoma" w:cs="Tahoma"/>
      <w:sz w:val="16"/>
      <w:szCs w:val="1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148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interactives.cbc.ca/longform/dna-ancestry-te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mls.org/csmls/media/documents/position_statements/WhistleBlower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mls.org/About-Us/Our-Members/Code-of-Conduc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mls.org/About-Us/Our-Members/Code-of-Ethics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5F110B4C-8BA9-4DBE-A573-98168A5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Mantifel, Lisa</dc:creator>
  <cp:lastModifiedBy>Laura Zychla</cp:lastModifiedBy>
  <cp:revision>2</cp:revision>
  <dcterms:created xsi:type="dcterms:W3CDTF">2019-07-02T11:38:00Z</dcterms:created>
  <dcterms:modified xsi:type="dcterms:W3CDTF">2019-07-02T11:38:00Z</dcterms:modified>
</cp:coreProperties>
</file>