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3461" w14:textId="7F4852A5" w:rsidR="00B95E08" w:rsidRPr="0092771F" w:rsidRDefault="000F1E4A" w:rsidP="00DF0495">
      <w:pPr>
        <w:pStyle w:val="CSMLS-SubHeading"/>
        <w:spacing w:before="240"/>
        <w:rPr>
          <w:b w:val="0"/>
          <w:bCs w:val="0"/>
          <w:color w:val="0078AE"/>
          <w:sz w:val="32"/>
          <w:szCs w:val="24"/>
          <w:lang w:val="fr-CA"/>
        </w:rPr>
      </w:pPr>
      <w:bookmarkStart w:id="0" w:name="_GoBack"/>
      <w:bookmarkEnd w:id="0"/>
      <w:r w:rsidRPr="0092771F">
        <w:rPr>
          <w:b w:val="0"/>
          <w:bCs w:val="0"/>
          <w:color w:val="0078AE"/>
          <w:sz w:val="32"/>
          <w:szCs w:val="24"/>
          <w:lang w:val="fr-CA"/>
        </w:rPr>
        <w:t>L’éthique à la carte</w:t>
      </w:r>
      <w:r w:rsidR="00B95E08" w:rsidRPr="0092771F">
        <w:rPr>
          <w:b w:val="0"/>
          <w:bCs w:val="0"/>
          <w:color w:val="0078AE"/>
          <w:sz w:val="32"/>
          <w:szCs w:val="24"/>
          <w:lang w:val="fr-CA"/>
        </w:rPr>
        <w:t xml:space="preserve"> – So</w:t>
      </w:r>
      <w:r w:rsidR="007C0989" w:rsidRPr="0092771F">
        <w:rPr>
          <w:b w:val="0"/>
          <w:bCs w:val="0"/>
          <w:color w:val="0078AE"/>
          <w:sz w:val="32"/>
          <w:szCs w:val="24"/>
          <w:lang w:val="fr-CA"/>
        </w:rPr>
        <w:t>l</w:t>
      </w:r>
      <w:r w:rsidR="00B95E08" w:rsidRPr="0092771F">
        <w:rPr>
          <w:b w:val="0"/>
          <w:bCs w:val="0"/>
          <w:color w:val="0078AE"/>
          <w:sz w:val="32"/>
          <w:szCs w:val="24"/>
          <w:lang w:val="fr-CA"/>
        </w:rPr>
        <w:t xml:space="preserve">licitation </w:t>
      </w:r>
    </w:p>
    <w:p w14:paraId="02BA51FF" w14:textId="37A963AB" w:rsidR="000C150F" w:rsidRPr="0092771F" w:rsidRDefault="00073FEC" w:rsidP="007F7A39">
      <w:pPr>
        <w:pStyle w:val="CSMLS-SubHeading"/>
        <w:rPr>
          <w:lang w:val="fr-CA"/>
        </w:rPr>
      </w:pPr>
      <w:r w:rsidRPr="0092771F">
        <w:rPr>
          <w:lang w:val="fr-CA"/>
        </w:rPr>
        <w:t>Article</w:t>
      </w:r>
      <w:r w:rsidR="0026228C" w:rsidRPr="0092771F">
        <w:rPr>
          <w:lang w:val="fr-CA"/>
        </w:rPr>
        <w:t xml:space="preserve"> (en anglais) :</w:t>
      </w:r>
      <w:r w:rsidRPr="0092771F">
        <w:rPr>
          <w:lang w:val="fr-CA"/>
        </w:rPr>
        <w:t xml:space="preserve"> </w:t>
      </w:r>
      <w:hyperlink r:id="rId8" w:history="1">
        <w:r w:rsidR="00B95E08" w:rsidRPr="0092771F">
          <w:rPr>
            <w:rStyle w:val="Hyperlink"/>
            <w:rFonts w:asciiTheme="minorHAnsi" w:hAnsiTheme="minorHAnsi" w:cstheme="minorHAnsi"/>
            <w:b w:val="0"/>
            <w:sz w:val="22"/>
            <w:szCs w:val="22"/>
            <w:lang w:val="fr-CA"/>
          </w:rPr>
          <w:t xml:space="preserve">Hamilton nurse has licence </w:t>
        </w:r>
        <w:proofErr w:type="spellStart"/>
        <w:r w:rsidR="00B95E08" w:rsidRPr="0092771F">
          <w:rPr>
            <w:rStyle w:val="Hyperlink"/>
            <w:rFonts w:asciiTheme="minorHAnsi" w:hAnsiTheme="minorHAnsi" w:cstheme="minorHAnsi"/>
            <w:b w:val="0"/>
            <w:sz w:val="22"/>
            <w:szCs w:val="22"/>
            <w:lang w:val="fr-CA"/>
          </w:rPr>
          <w:t>revoked</w:t>
        </w:r>
        <w:proofErr w:type="spellEnd"/>
        <w:r w:rsidR="00B95E08" w:rsidRPr="0092771F">
          <w:rPr>
            <w:rStyle w:val="Hyperlink"/>
            <w:rFonts w:asciiTheme="minorHAnsi" w:hAnsiTheme="minorHAnsi" w:cstheme="minorHAnsi"/>
            <w:b w:val="0"/>
            <w:sz w:val="22"/>
            <w:szCs w:val="22"/>
            <w:lang w:val="fr-CA"/>
          </w:rPr>
          <w:t xml:space="preserve"> over </w:t>
        </w:r>
        <w:proofErr w:type="spellStart"/>
        <w:r w:rsidR="00B95E08" w:rsidRPr="0092771F">
          <w:rPr>
            <w:rStyle w:val="Hyperlink"/>
            <w:rFonts w:asciiTheme="minorHAnsi" w:hAnsiTheme="minorHAnsi" w:cstheme="minorHAnsi"/>
            <w:b w:val="0"/>
            <w:sz w:val="22"/>
            <w:szCs w:val="22"/>
            <w:lang w:val="fr-CA"/>
          </w:rPr>
          <w:t>thousands</w:t>
        </w:r>
        <w:proofErr w:type="spellEnd"/>
        <w:r w:rsidR="00B95E08" w:rsidRPr="0092771F">
          <w:rPr>
            <w:rStyle w:val="Hyperlink"/>
            <w:rFonts w:asciiTheme="minorHAnsi" w:hAnsiTheme="minorHAnsi" w:cstheme="minorHAnsi"/>
            <w:b w:val="0"/>
            <w:sz w:val="22"/>
            <w:szCs w:val="22"/>
            <w:lang w:val="fr-CA"/>
          </w:rPr>
          <w:t xml:space="preserve"> in </w:t>
        </w:r>
        <w:proofErr w:type="spellStart"/>
        <w:r w:rsidR="00B95E08" w:rsidRPr="0092771F">
          <w:rPr>
            <w:rStyle w:val="Hyperlink"/>
            <w:rFonts w:asciiTheme="minorHAnsi" w:hAnsiTheme="minorHAnsi" w:cstheme="minorHAnsi"/>
            <w:b w:val="0"/>
            <w:sz w:val="22"/>
            <w:szCs w:val="22"/>
            <w:lang w:val="fr-CA"/>
          </w:rPr>
          <w:t>loans</w:t>
        </w:r>
        <w:proofErr w:type="spellEnd"/>
        <w:r w:rsidR="00B95E08" w:rsidRPr="0092771F">
          <w:rPr>
            <w:rStyle w:val="Hyperlink"/>
            <w:rFonts w:asciiTheme="minorHAnsi" w:hAnsiTheme="minorHAnsi" w:cstheme="minorHAnsi"/>
            <w:b w:val="0"/>
            <w:sz w:val="22"/>
            <w:szCs w:val="22"/>
            <w:lang w:val="fr-CA"/>
          </w:rPr>
          <w:t xml:space="preserve"> </w:t>
        </w:r>
        <w:proofErr w:type="spellStart"/>
        <w:r w:rsidR="00B95E08" w:rsidRPr="0092771F">
          <w:rPr>
            <w:rStyle w:val="Hyperlink"/>
            <w:rFonts w:asciiTheme="minorHAnsi" w:hAnsiTheme="minorHAnsi" w:cstheme="minorHAnsi"/>
            <w:b w:val="0"/>
            <w:sz w:val="22"/>
            <w:szCs w:val="22"/>
            <w:lang w:val="fr-CA"/>
          </w:rPr>
          <w:t>from</w:t>
        </w:r>
        <w:proofErr w:type="spellEnd"/>
        <w:r w:rsidR="00B95E08" w:rsidRPr="0092771F">
          <w:rPr>
            <w:rStyle w:val="Hyperlink"/>
            <w:rFonts w:asciiTheme="minorHAnsi" w:hAnsiTheme="minorHAnsi" w:cstheme="minorHAnsi"/>
            <w:b w:val="0"/>
            <w:sz w:val="22"/>
            <w:szCs w:val="22"/>
            <w:lang w:val="fr-CA"/>
          </w:rPr>
          <w:t xml:space="preserve"> patient</w:t>
        </w:r>
      </w:hyperlink>
    </w:p>
    <w:p w14:paraId="59159AA8" w14:textId="77777777" w:rsidR="00FA2801" w:rsidRPr="0092771F" w:rsidRDefault="00FA2801" w:rsidP="007F7A39">
      <w:pPr>
        <w:pStyle w:val="CSMLS-SubHeading"/>
        <w:rPr>
          <w:lang w:val="fr-CA"/>
        </w:rPr>
      </w:pPr>
      <w:r w:rsidRPr="0092771F">
        <w:rPr>
          <w:lang w:val="fr-CA"/>
        </w:rPr>
        <w:t>Quelle a été la situation?</w:t>
      </w:r>
    </w:p>
    <w:p w14:paraId="599E1BF7" w14:textId="584A9ED2" w:rsidR="00B95E08" w:rsidRPr="0092771F" w:rsidRDefault="003527F3" w:rsidP="007F7A39">
      <w:pPr>
        <w:pStyle w:val="CSMLS-SubHeading"/>
        <w:rPr>
          <w:rFonts w:ascii="Rockwell" w:hAnsi="Rockwell"/>
          <w:b w:val="0"/>
          <w:bCs w:val="0"/>
          <w:sz w:val="22"/>
          <w:lang w:val="fr-CA"/>
        </w:rPr>
      </w:pPr>
      <w:r w:rsidRPr="0092771F">
        <w:rPr>
          <w:rFonts w:ascii="Rockwell" w:hAnsi="Rockwell"/>
          <w:b w:val="0"/>
          <w:bCs w:val="0"/>
          <w:sz w:val="22"/>
          <w:lang w:val="fr-CA"/>
        </w:rPr>
        <w:t>On a révoqué le permis d’exercice d’u</w:t>
      </w:r>
      <w:r w:rsidR="00FA2801" w:rsidRPr="0092771F">
        <w:rPr>
          <w:rFonts w:ascii="Rockwell" w:hAnsi="Rockwell"/>
          <w:b w:val="0"/>
          <w:bCs w:val="0"/>
          <w:sz w:val="22"/>
          <w:lang w:val="fr-CA"/>
        </w:rPr>
        <w:t xml:space="preserve">n infirmier auxiliaire de la région de Hamilton </w:t>
      </w:r>
      <w:r w:rsidRPr="0092771F">
        <w:rPr>
          <w:rFonts w:ascii="Rockwell" w:hAnsi="Rockwell"/>
          <w:b w:val="0"/>
          <w:bCs w:val="0"/>
          <w:sz w:val="22"/>
          <w:lang w:val="fr-CA"/>
        </w:rPr>
        <w:t xml:space="preserve">après </w:t>
      </w:r>
      <w:r w:rsidR="0092771F" w:rsidRPr="0092771F">
        <w:rPr>
          <w:rFonts w:ascii="Rockwell" w:hAnsi="Rockwell"/>
          <w:b w:val="0"/>
          <w:bCs w:val="0"/>
          <w:sz w:val="22"/>
          <w:lang w:val="fr-CA"/>
        </w:rPr>
        <w:t>avoir</w:t>
      </w:r>
      <w:r w:rsidRPr="0092771F">
        <w:rPr>
          <w:rFonts w:ascii="Rockwell" w:hAnsi="Rockwell"/>
          <w:b w:val="0"/>
          <w:bCs w:val="0"/>
          <w:sz w:val="22"/>
          <w:lang w:val="fr-CA"/>
        </w:rPr>
        <w:t xml:space="preserve"> prétendument sollicité et accepté deux prêts accordés par un patient. Le comité de discipline de l’Ordre des infirmières et infirmiers de l’Ontario (OIIO) a trouvé que l’infirmier auxiliaire </w:t>
      </w:r>
      <w:r w:rsidR="0000353F" w:rsidRPr="0092771F">
        <w:rPr>
          <w:rFonts w:ascii="Rockwell" w:hAnsi="Rockwell"/>
          <w:b w:val="0"/>
          <w:bCs w:val="0"/>
          <w:sz w:val="22"/>
          <w:lang w:val="fr-CA"/>
        </w:rPr>
        <w:t xml:space="preserve">a affiché une conduite </w:t>
      </w:r>
      <w:r w:rsidR="0041649E" w:rsidRPr="0092771F">
        <w:rPr>
          <w:rFonts w:ascii="Rockwell" w:hAnsi="Rockwell"/>
          <w:b w:val="0"/>
          <w:bCs w:val="0"/>
          <w:sz w:val="22"/>
          <w:lang w:val="fr-CA"/>
        </w:rPr>
        <w:t>« </w:t>
      </w:r>
      <w:r w:rsidR="0000353F" w:rsidRPr="0092771F">
        <w:rPr>
          <w:rFonts w:ascii="Rockwell" w:hAnsi="Rockwell"/>
          <w:b w:val="0"/>
          <w:bCs w:val="0"/>
          <w:sz w:val="22"/>
          <w:lang w:val="fr-CA"/>
        </w:rPr>
        <w:t>honteuse, déshonorante et peu professionnelle</w:t>
      </w:r>
      <w:r w:rsidR="0041649E" w:rsidRPr="0092771F">
        <w:rPr>
          <w:rFonts w:ascii="Rockwell" w:hAnsi="Rockwell"/>
          <w:b w:val="0"/>
          <w:bCs w:val="0"/>
          <w:sz w:val="22"/>
          <w:lang w:val="fr-CA"/>
        </w:rPr>
        <w:t> »</w:t>
      </w:r>
      <w:r w:rsidR="0000353F" w:rsidRPr="0092771F">
        <w:rPr>
          <w:rFonts w:ascii="Rockwell" w:hAnsi="Rockwell"/>
          <w:b w:val="0"/>
          <w:bCs w:val="0"/>
          <w:sz w:val="22"/>
          <w:lang w:val="fr-CA"/>
        </w:rPr>
        <w:t xml:space="preserve"> en ne respectant pas les limites de la relation thérapeutique entre l’</w:t>
      </w:r>
      <w:r w:rsidR="00BA2A91" w:rsidRPr="0092771F">
        <w:rPr>
          <w:rFonts w:ascii="Rockwell" w:hAnsi="Rockwell"/>
          <w:b w:val="0"/>
          <w:bCs w:val="0"/>
          <w:sz w:val="22"/>
          <w:lang w:val="fr-CA"/>
        </w:rPr>
        <w:t xml:space="preserve">infirmier et le client, </w:t>
      </w:r>
      <w:r w:rsidR="00FA3872" w:rsidRPr="0092771F">
        <w:rPr>
          <w:rFonts w:ascii="Rockwell" w:hAnsi="Rockwell"/>
          <w:b w:val="0"/>
          <w:bCs w:val="0"/>
          <w:sz w:val="22"/>
          <w:lang w:val="fr-CA"/>
        </w:rPr>
        <w:t>quand il a conclu une transaction financière non liée à la prestation de soins et de services auprès du client.</w:t>
      </w:r>
    </w:p>
    <w:p w14:paraId="46C00C3E" w14:textId="7A05C497" w:rsidR="00073FEC" w:rsidRPr="0092771F" w:rsidRDefault="00A84E1A" w:rsidP="007F7A39">
      <w:pPr>
        <w:pStyle w:val="CSMLS-SubHeading"/>
        <w:rPr>
          <w:lang w:val="fr-CA"/>
        </w:rPr>
      </w:pPr>
      <w:r w:rsidRPr="0092771F">
        <w:rPr>
          <w:lang w:val="fr-CA"/>
        </w:rPr>
        <w:t>Qu’est-ce qui a mal tourné?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670"/>
        <w:gridCol w:w="1447"/>
        <w:gridCol w:w="3231"/>
      </w:tblGrid>
      <w:tr w:rsidR="00B95E08" w:rsidRPr="0092771F" w14:paraId="7A107CF7" w14:textId="77777777" w:rsidTr="0026228C">
        <w:tc>
          <w:tcPr>
            <w:tcW w:w="3116" w:type="dxa"/>
          </w:tcPr>
          <w:p w14:paraId="02FA27C1" w14:textId="3EC44ACD" w:rsidR="00B95E08" w:rsidRPr="0092771F" w:rsidRDefault="00A84E1A" w:rsidP="00B95E08">
            <w:pPr>
              <w:jc w:val="center"/>
              <w:rPr>
                <w:rFonts w:ascii="Rockwell" w:hAnsi="Rockwell"/>
                <w:lang w:val="fr-CA"/>
              </w:rPr>
            </w:pPr>
            <w:r w:rsidRPr="0092771F">
              <w:rPr>
                <w:rFonts w:ascii="Rockwell" w:hAnsi="Rockwell"/>
                <w:lang w:val="fr-CA"/>
              </w:rPr>
              <w:t>Manque de moralité</w:t>
            </w:r>
          </w:p>
          <w:p w14:paraId="583F9FCB" w14:textId="77777777" w:rsidR="00B95E08" w:rsidRPr="0092771F" w:rsidRDefault="00B95E08" w:rsidP="00B95E08">
            <w:pPr>
              <w:jc w:val="center"/>
              <w:rPr>
                <w:rFonts w:ascii="Rockwell" w:hAnsi="Rockwell"/>
                <w:lang w:val="fr-CA"/>
              </w:rPr>
            </w:pPr>
          </w:p>
        </w:tc>
        <w:tc>
          <w:tcPr>
            <w:tcW w:w="3117" w:type="dxa"/>
            <w:gridSpan w:val="2"/>
          </w:tcPr>
          <w:p w14:paraId="1BE21613" w14:textId="44B1D167" w:rsidR="00B95E08" w:rsidRPr="0092771F" w:rsidRDefault="00A84E1A" w:rsidP="00DF0495">
            <w:pPr>
              <w:spacing w:after="120"/>
              <w:jc w:val="center"/>
              <w:rPr>
                <w:rFonts w:ascii="Rockwell" w:hAnsi="Rockwell"/>
                <w:lang w:val="fr-CA"/>
              </w:rPr>
            </w:pPr>
            <w:r w:rsidRPr="0092771F">
              <w:rPr>
                <w:rFonts w:ascii="Rockwell" w:hAnsi="Rockwell"/>
                <w:lang w:val="fr-CA"/>
              </w:rPr>
              <w:t>Absence de responsabilité professionnelle</w:t>
            </w:r>
          </w:p>
        </w:tc>
        <w:tc>
          <w:tcPr>
            <w:tcW w:w="3231" w:type="dxa"/>
          </w:tcPr>
          <w:p w14:paraId="5825C219" w14:textId="27489636" w:rsidR="00B95E08" w:rsidRPr="0092771F" w:rsidRDefault="00A84E1A" w:rsidP="00B95E08">
            <w:pPr>
              <w:jc w:val="center"/>
              <w:rPr>
                <w:rFonts w:ascii="Rockwell" w:hAnsi="Rockwell"/>
                <w:lang w:val="fr-CA"/>
              </w:rPr>
            </w:pPr>
            <w:r w:rsidRPr="0092771F">
              <w:rPr>
                <w:rFonts w:ascii="Rockwell" w:hAnsi="Rockwell"/>
                <w:lang w:val="fr-CA"/>
              </w:rPr>
              <w:t>Manque d’intégrité</w:t>
            </w:r>
          </w:p>
          <w:p w14:paraId="4B759CE3" w14:textId="77777777" w:rsidR="00B95E08" w:rsidRPr="0092771F" w:rsidRDefault="00B95E08" w:rsidP="00B95E08">
            <w:pPr>
              <w:jc w:val="center"/>
              <w:rPr>
                <w:rFonts w:ascii="Rockwell" w:hAnsi="Rockwell"/>
                <w:lang w:val="fr-CA"/>
              </w:rPr>
            </w:pPr>
          </w:p>
        </w:tc>
      </w:tr>
      <w:tr w:rsidR="00CC3B58" w:rsidRPr="0092771F" w14:paraId="1464DAD9" w14:textId="77777777" w:rsidTr="0026228C">
        <w:tc>
          <w:tcPr>
            <w:tcW w:w="4786" w:type="dxa"/>
            <w:gridSpan w:val="2"/>
            <w:vAlign w:val="center"/>
          </w:tcPr>
          <w:p w14:paraId="6249DEDA" w14:textId="05BA799D" w:rsidR="00CC3B58" w:rsidRPr="0092771F" w:rsidRDefault="00A84E1A" w:rsidP="00A84E1A">
            <w:pPr>
              <w:ind w:left="993" w:right="601"/>
              <w:jc w:val="center"/>
              <w:rPr>
                <w:rFonts w:ascii="Rockwell" w:hAnsi="Rockwell"/>
                <w:lang w:val="fr-CA"/>
              </w:rPr>
            </w:pPr>
            <w:r w:rsidRPr="0092771F">
              <w:rPr>
                <w:rFonts w:ascii="Rockwell" w:hAnsi="Rockwell"/>
                <w:lang w:val="fr-CA"/>
              </w:rPr>
              <w:t>Non-respect des normes de conduite professionnelle</w:t>
            </w:r>
          </w:p>
        </w:tc>
        <w:tc>
          <w:tcPr>
            <w:tcW w:w="4678" w:type="dxa"/>
            <w:gridSpan w:val="2"/>
          </w:tcPr>
          <w:p w14:paraId="7FC71B07" w14:textId="4FE7ABE6" w:rsidR="00CC3B58" w:rsidRPr="0092771F" w:rsidRDefault="00A84E1A" w:rsidP="00DF0495">
            <w:pPr>
              <w:ind w:left="317" w:right="629"/>
              <w:jc w:val="center"/>
              <w:rPr>
                <w:rFonts w:ascii="Rockwell" w:hAnsi="Rockwell"/>
                <w:lang w:val="fr-CA"/>
              </w:rPr>
            </w:pPr>
            <w:r w:rsidRPr="0092771F">
              <w:rPr>
                <w:rFonts w:ascii="Rockwell" w:hAnsi="Rockwell"/>
                <w:lang w:val="fr-CA"/>
              </w:rPr>
              <w:t>Refus d’assumer la responsabilité de ses actes professionnels</w:t>
            </w:r>
          </w:p>
        </w:tc>
      </w:tr>
    </w:tbl>
    <w:p w14:paraId="0C788AC6" w14:textId="77777777" w:rsidR="00DF0495" w:rsidRPr="0092771F" w:rsidRDefault="00DF0495" w:rsidP="009274E6">
      <w:pPr>
        <w:pStyle w:val="CSMLS-Body"/>
        <w:spacing w:before="240"/>
        <w:rPr>
          <w:rFonts w:ascii="Century Gothic" w:hAnsi="Century Gothic"/>
          <w:b/>
          <w:bCs/>
          <w:sz w:val="20"/>
          <w:lang w:val="fr-CA"/>
        </w:rPr>
      </w:pPr>
      <w:r w:rsidRPr="0092771F">
        <w:rPr>
          <w:rFonts w:ascii="Century Gothic" w:hAnsi="Century Gothic"/>
          <w:b/>
          <w:bCs/>
          <w:sz w:val="20"/>
          <w:lang w:val="fr-CA"/>
        </w:rPr>
        <w:t xml:space="preserve">Utilisation du code de déontologie </w:t>
      </w:r>
    </w:p>
    <w:p w14:paraId="2D08E436" w14:textId="7429086D" w:rsidR="00190424" w:rsidRPr="0092771F" w:rsidRDefault="00DF0495" w:rsidP="007F7A39">
      <w:pPr>
        <w:pStyle w:val="CSMLS-Body"/>
        <w:rPr>
          <w:lang w:val="fr-CA"/>
        </w:rPr>
      </w:pPr>
      <w:r w:rsidRPr="0092771F">
        <w:rPr>
          <w:rFonts w:cs="Arial"/>
          <w:lang w:val="fr-CA"/>
        </w:rPr>
        <w:t xml:space="preserve">Le </w:t>
      </w:r>
      <w:hyperlink r:id="rId9" w:history="1">
        <w:r w:rsidRPr="0092771F">
          <w:rPr>
            <w:rStyle w:val="Hyperlink"/>
            <w:rFonts w:cs="Arial"/>
            <w:lang w:val="fr-CA"/>
          </w:rPr>
          <w:t>Code de déontologie de la SCSLM</w:t>
        </w:r>
      </w:hyperlink>
      <w:r w:rsidRPr="0092771F">
        <w:rPr>
          <w:rFonts w:cs="Arial"/>
          <w:color w:val="3F3F3F"/>
          <w:lang w:val="fr-CA"/>
        </w:rPr>
        <w:t xml:space="preserve"> </w:t>
      </w:r>
      <w:r w:rsidRPr="0092771F">
        <w:rPr>
          <w:rFonts w:cs="Arial"/>
          <w:lang w:val="fr-CA"/>
        </w:rPr>
        <w:t xml:space="preserve">vise à définir et à développer les concepts d’éthique intrinsèques contenus dans le </w:t>
      </w:r>
      <w:hyperlink r:id="rId10" w:history="1">
        <w:r w:rsidRPr="0092771F">
          <w:rPr>
            <w:rStyle w:val="Hyperlink"/>
            <w:rFonts w:cs="Arial"/>
            <w:lang w:val="fr-CA"/>
          </w:rPr>
          <w:t>Code de conduite professionnelle de la SCSLM</w:t>
        </w:r>
      </w:hyperlink>
      <w:r w:rsidRPr="0092771F">
        <w:rPr>
          <w:rFonts w:cs="Arial"/>
          <w:lang w:val="fr-CA"/>
        </w:rPr>
        <w:t>, à documenter les attentes à l’égard du comportement éthique de tous les professionnels de laboratoire médical, et à fournir un cadre lors des évaluations professionnelles et des autoévaluations personnelles. Envisagez comment adhérer à ces codes auraient pu empêcher cette situation. Quels autres codes s’y appliquent?</w:t>
      </w:r>
    </w:p>
    <w:p w14:paraId="57FC69E1" w14:textId="5410A00F" w:rsidR="00B75685" w:rsidRPr="0092771F" w:rsidRDefault="00DF0495" w:rsidP="00C60084">
      <w:pPr>
        <w:spacing w:after="0"/>
        <w:rPr>
          <w:rFonts w:ascii="Rockwell" w:hAnsi="Rockwell"/>
          <w:i/>
          <w:lang w:val="fr-CA"/>
        </w:rPr>
      </w:pPr>
      <w:r w:rsidRPr="0092771F">
        <w:rPr>
          <w:rFonts w:ascii="Rockwell" w:hAnsi="Rockwell"/>
          <w:i/>
          <w:lang w:val="fr-CA"/>
        </w:rPr>
        <w:t>Code de déontologie</w:t>
      </w:r>
    </w:p>
    <w:p w14:paraId="5B244266" w14:textId="7BB0DFA3" w:rsidR="00B95E08" w:rsidRPr="0092771F" w:rsidRDefault="00B95E08" w:rsidP="00E30CD8">
      <w:pPr>
        <w:pStyle w:val="ListParagraph"/>
        <w:numPr>
          <w:ilvl w:val="0"/>
          <w:numId w:val="4"/>
        </w:numPr>
        <w:spacing w:after="0"/>
        <w:rPr>
          <w:rFonts w:ascii="Rockwell" w:hAnsi="Rockwell"/>
          <w:lang w:val="fr-CA"/>
        </w:rPr>
      </w:pPr>
      <w:r w:rsidRPr="0092771F">
        <w:rPr>
          <w:rFonts w:ascii="Rockwell" w:hAnsi="Rockwell"/>
          <w:lang w:val="fr-CA"/>
        </w:rPr>
        <w:t xml:space="preserve">2.3 </w:t>
      </w:r>
      <w:r w:rsidR="00E30CD8" w:rsidRPr="0092771F">
        <w:rPr>
          <w:rFonts w:ascii="Rockwell" w:hAnsi="Rockwell"/>
          <w:lang w:val="fr-CA"/>
        </w:rPr>
        <w:t>S'abstenir d'utiliser des renseignements confidentiels au détriment d'un patient, ou avec l'intention directe ou indirecte d'en profiter personnellement ou au profit d'une autre personne</w:t>
      </w:r>
      <w:r w:rsidRPr="0092771F">
        <w:rPr>
          <w:rFonts w:ascii="Rockwell" w:hAnsi="Rockwell"/>
          <w:lang w:val="fr-CA"/>
        </w:rPr>
        <w:t>.</w:t>
      </w:r>
    </w:p>
    <w:p w14:paraId="2D84B26C" w14:textId="62D40F02" w:rsidR="00113348" w:rsidRPr="0092771F" w:rsidRDefault="00B95E08" w:rsidP="0026228C">
      <w:pPr>
        <w:pStyle w:val="ListParagraph"/>
        <w:numPr>
          <w:ilvl w:val="0"/>
          <w:numId w:val="4"/>
        </w:numPr>
        <w:spacing w:after="0"/>
        <w:rPr>
          <w:rFonts w:ascii="Rockwell" w:hAnsi="Rockwell"/>
          <w:i/>
          <w:lang w:val="fr-CA"/>
        </w:rPr>
      </w:pPr>
      <w:r w:rsidRPr="0092771F">
        <w:rPr>
          <w:rFonts w:ascii="Rockwell" w:hAnsi="Rockwell"/>
          <w:lang w:val="fr-CA"/>
        </w:rPr>
        <w:t xml:space="preserve">2.6 </w:t>
      </w:r>
      <w:r w:rsidR="0026228C" w:rsidRPr="0092771F">
        <w:rPr>
          <w:rFonts w:ascii="Rockwell" w:hAnsi="Rockwell"/>
          <w:lang w:val="fr-CA"/>
        </w:rPr>
        <w:t>Reconnaître et divulguer les conflits d'intérêts et les résoudre d'une façon qui préserve l'intégrité des renseignements personnels sur la santé et qui défend les meilleurs intérêts des soins de patients.</w:t>
      </w:r>
    </w:p>
    <w:p w14:paraId="39F6C334" w14:textId="77777777" w:rsidR="0044176E" w:rsidRPr="0092771F" w:rsidRDefault="0044176E" w:rsidP="00C60084">
      <w:pPr>
        <w:spacing w:after="0"/>
        <w:rPr>
          <w:rFonts w:ascii="Rockwell" w:hAnsi="Rockwell"/>
          <w:i/>
          <w:lang w:val="fr-CA"/>
        </w:rPr>
      </w:pPr>
    </w:p>
    <w:p w14:paraId="31C33067" w14:textId="10EB0C86" w:rsidR="00B75685" w:rsidRPr="0092771F" w:rsidRDefault="00DF0495" w:rsidP="00C60084">
      <w:pPr>
        <w:spacing w:after="0"/>
        <w:rPr>
          <w:rFonts w:ascii="Rockwell" w:hAnsi="Rockwell"/>
          <w:i/>
          <w:lang w:val="fr-CA"/>
        </w:rPr>
      </w:pPr>
      <w:r w:rsidRPr="0092771F">
        <w:rPr>
          <w:rFonts w:ascii="Rockwell" w:hAnsi="Rockwell"/>
          <w:i/>
          <w:lang w:val="fr-CA"/>
        </w:rPr>
        <w:t>Code de conduite professionnelle</w:t>
      </w:r>
    </w:p>
    <w:p w14:paraId="4F282038" w14:textId="3E614AFA" w:rsidR="00B95E08" w:rsidRPr="0092771F" w:rsidRDefault="0026228C" w:rsidP="0026228C">
      <w:pPr>
        <w:pStyle w:val="CSMLS-SubHeading"/>
        <w:numPr>
          <w:ilvl w:val="0"/>
          <w:numId w:val="6"/>
        </w:numPr>
        <w:rPr>
          <w:rFonts w:ascii="Rockwell" w:eastAsiaTheme="minorHAnsi" w:hAnsi="Rockwell" w:cstheme="minorBidi"/>
          <w:b w:val="0"/>
          <w:bCs w:val="0"/>
          <w:sz w:val="22"/>
          <w:szCs w:val="22"/>
          <w:lang w:val="fr-CA"/>
        </w:rPr>
      </w:pPr>
      <w:r w:rsidRPr="0092771F">
        <w:rPr>
          <w:rFonts w:ascii="Rockwell" w:eastAsiaTheme="minorHAnsi" w:hAnsi="Rockwell" w:cstheme="minorBidi"/>
          <w:b w:val="0"/>
          <w:bCs w:val="0"/>
          <w:sz w:val="22"/>
          <w:szCs w:val="22"/>
          <w:lang w:val="fr-CA"/>
        </w:rPr>
        <w:t>Les professionnels de laboratoire médical doivent promouvoir l'image et le statut de leur profession en maintenant des normes de pratique élevées dans leur vie professionnelle et par le biais de l'appui concret à leurs organismes professionnels.</w:t>
      </w:r>
    </w:p>
    <w:p w14:paraId="71044A0E" w14:textId="43D3751D" w:rsidR="00B95E08" w:rsidRPr="0092771F" w:rsidRDefault="0026228C" w:rsidP="0026228C">
      <w:pPr>
        <w:pStyle w:val="CSMLS-SubHeading"/>
        <w:numPr>
          <w:ilvl w:val="0"/>
          <w:numId w:val="6"/>
        </w:numPr>
        <w:rPr>
          <w:rFonts w:ascii="Rockwell" w:eastAsiaTheme="minorHAnsi" w:hAnsi="Rockwell" w:cstheme="minorBidi"/>
          <w:b w:val="0"/>
          <w:bCs w:val="0"/>
          <w:sz w:val="22"/>
          <w:szCs w:val="22"/>
          <w:lang w:val="fr-CA"/>
        </w:rPr>
      </w:pPr>
      <w:r w:rsidRPr="0092771F">
        <w:rPr>
          <w:rFonts w:ascii="Rockwell" w:eastAsiaTheme="minorHAnsi" w:hAnsi="Rockwell" w:cstheme="minorBidi"/>
          <w:b w:val="0"/>
          <w:bCs w:val="0"/>
          <w:sz w:val="22"/>
          <w:szCs w:val="22"/>
          <w:lang w:val="fr-CA"/>
        </w:rPr>
        <w:t>Les professionnels de laboratoire médical doivent assumer la responsabilité de leurs actes professionnels</w:t>
      </w:r>
      <w:r w:rsidR="00B95E08" w:rsidRPr="0092771F">
        <w:rPr>
          <w:rFonts w:ascii="Rockwell" w:eastAsiaTheme="minorHAnsi" w:hAnsi="Rockwell" w:cstheme="minorBidi"/>
          <w:b w:val="0"/>
          <w:bCs w:val="0"/>
          <w:sz w:val="22"/>
          <w:szCs w:val="22"/>
          <w:lang w:val="fr-CA"/>
        </w:rPr>
        <w:t>.</w:t>
      </w:r>
    </w:p>
    <w:p w14:paraId="284ACEBF" w14:textId="77777777" w:rsidR="0026228C" w:rsidRPr="0092771F" w:rsidRDefault="0026228C">
      <w:pPr>
        <w:rPr>
          <w:rFonts w:ascii="Century Gothic" w:eastAsia="MS Mincho" w:hAnsi="Century Gothic" w:cs="Times New Roman"/>
          <w:b/>
          <w:bCs/>
          <w:sz w:val="20"/>
          <w:szCs w:val="20"/>
          <w:lang w:val="fr-CA"/>
        </w:rPr>
      </w:pPr>
      <w:r w:rsidRPr="0092771F">
        <w:rPr>
          <w:lang w:val="fr-CA"/>
        </w:rPr>
        <w:br w:type="page"/>
      </w:r>
    </w:p>
    <w:p w14:paraId="2D83865D" w14:textId="39EFC642" w:rsidR="00073FEC" w:rsidRPr="0092771F" w:rsidRDefault="0026228C" w:rsidP="00B95E08">
      <w:pPr>
        <w:pStyle w:val="CSMLS-SubHeading"/>
        <w:rPr>
          <w:lang w:val="fr-CA"/>
        </w:rPr>
      </w:pPr>
      <w:r w:rsidRPr="0092771F">
        <w:rPr>
          <w:lang w:val="fr-CA"/>
        </w:rPr>
        <w:lastRenderedPageBreak/>
        <w:t>Rapports pertinents</w:t>
      </w:r>
      <w:r w:rsidR="0095321E" w:rsidRPr="0092771F">
        <w:rPr>
          <w:lang w:val="fr-CA"/>
        </w:rPr>
        <w:t> :</w:t>
      </w:r>
    </w:p>
    <w:p w14:paraId="624F1BC6" w14:textId="6DB640ED" w:rsidR="0092771F" w:rsidRPr="0092771F" w:rsidRDefault="00290FE8" w:rsidP="00B83F69">
      <w:pPr>
        <w:spacing w:after="0"/>
        <w:rPr>
          <w:lang w:val="fr-CA"/>
        </w:rPr>
      </w:pPr>
      <w:hyperlink r:id="rId11" w:history="1">
        <w:r w:rsidR="0092771F" w:rsidRPr="0092771F">
          <w:rPr>
            <w:rStyle w:val="Hyperlink"/>
            <w:lang w:val="fr-CA"/>
          </w:rPr>
          <w:t>Ordre des infirmières et infirmiers de l'Ontario - Résumé des décisions</w:t>
        </w:r>
      </w:hyperlink>
    </w:p>
    <w:p w14:paraId="5CCB94C4" w14:textId="58C42E36" w:rsidR="00B83F69" w:rsidRPr="0092771F" w:rsidRDefault="00290FE8" w:rsidP="00B83F69">
      <w:pPr>
        <w:spacing w:after="0"/>
        <w:rPr>
          <w:rStyle w:val="Hyperlink"/>
          <w:lang w:val="fr-CA"/>
        </w:rPr>
      </w:pPr>
      <w:hyperlink r:id="rId12" w:history="1">
        <w:r w:rsidR="0041538E" w:rsidRPr="0092771F">
          <w:rPr>
            <w:rStyle w:val="Hyperlink"/>
            <w:lang w:val="fr-CA"/>
          </w:rPr>
          <w:t>NOT ENTITLED TO PRACTICE</w:t>
        </w:r>
      </w:hyperlink>
    </w:p>
    <w:p w14:paraId="1AF4CDAC" w14:textId="08230C1D" w:rsidR="008749EE" w:rsidRPr="0092771F" w:rsidRDefault="00290FE8" w:rsidP="008749EE">
      <w:pPr>
        <w:spacing w:after="0"/>
        <w:rPr>
          <w:lang w:val="fr-CA"/>
        </w:rPr>
      </w:pPr>
      <w:hyperlink r:id="rId13" w:history="1">
        <w:r w:rsidR="008749EE" w:rsidRPr="0092771F">
          <w:rPr>
            <w:rStyle w:val="Hyperlink"/>
            <w:lang w:val="fr-CA"/>
          </w:rPr>
          <w:t>Winnipeg ‘</w:t>
        </w:r>
        <w:proofErr w:type="spellStart"/>
        <w:r w:rsidR="008749EE" w:rsidRPr="0092771F">
          <w:rPr>
            <w:rStyle w:val="Hyperlink"/>
            <w:lang w:val="fr-CA"/>
          </w:rPr>
          <w:t>chocolategate</w:t>
        </w:r>
        <w:proofErr w:type="spellEnd"/>
        <w:r w:rsidR="008749EE" w:rsidRPr="0092771F">
          <w:rPr>
            <w:rStyle w:val="Hyperlink"/>
            <w:lang w:val="fr-CA"/>
          </w:rPr>
          <w:t xml:space="preserve">’: </w:t>
        </w:r>
        <w:proofErr w:type="spellStart"/>
        <w:r w:rsidR="008749EE" w:rsidRPr="0092771F">
          <w:rPr>
            <w:rStyle w:val="Hyperlink"/>
            <w:lang w:val="fr-CA"/>
          </w:rPr>
          <w:t>Does</w:t>
        </w:r>
        <w:proofErr w:type="spellEnd"/>
        <w:r w:rsidR="008749EE" w:rsidRPr="0092771F">
          <w:rPr>
            <w:rStyle w:val="Hyperlink"/>
            <w:lang w:val="fr-CA"/>
          </w:rPr>
          <w:t xml:space="preserve"> a box of </w:t>
        </w:r>
        <w:proofErr w:type="spellStart"/>
        <w:r w:rsidR="008749EE" w:rsidRPr="0092771F">
          <w:rPr>
            <w:rStyle w:val="Hyperlink"/>
            <w:lang w:val="fr-CA"/>
          </w:rPr>
          <w:t>treats</w:t>
        </w:r>
        <w:proofErr w:type="spellEnd"/>
        <w:r w:rsidR="008749EE" w:rsidRPr="0092771F">
          <w:rPr>
            <w:rStyle w:val="Hyperlink"/>
            <w:lang w:val="fr-CA"/>
          </w:rPr>
          <w:t xml:space="preserve"> come </w:t>
        </w:r>
        <w:proofErr w:type="spellStart"/>
        <w:r w:rsidR="008749EE" w:rsidRPr="0092771F">
          <w:rPr>
            <w:rStyle w:val="Hyperlink"/>
            <w:lang w:val="fr-CA"/>
          </w:rPr>
          <w:t>with</w:t>
        </w:r>
        <w:proofErr w:type="spellEnd"/>
        <w:r w:rsidR="008749EE" w:rsidRPr="0092771F">
          <w:rPr>
            <w:rStyle w:val="Hyperlink"/>
            <w:lang w:val="fr-CA"/>
          </w:rPr>
          <w:t xml:space="preserve"> strings </w:t>
        </w:r>
        <w:proofErr w:type="spellStart"/>
        <w:r w:rsidR="008749EE" w:rsidRPr="0092771F">
          <w:rPr>
            <w:rStyle w:val="Hyperlink"/>
            <w:lang w:val="fr-CA"/>
          </w:rPr>
          <w:t>attached</w:t>
        </w:r>
        <w:proofErr w:type="spellEnd"/>
        <w:r w:rsidR="008749EE" w:rsidRPr="0092771F">
          <w:rPr>
            <w:rStyle w:val="Hyperlink"/>
            <w:lang w:val="fr-CA"/>
          </w:rPr>
          <w:t>?</w:t>
        </w:r>
      </w:hyperlink>
    </w:p>
    <w:p w14:paraId="4394573A" w14:textId="0AF24364" w:rsidR="008749EE" w:rsidRPr="0092771F" w:rsidRDefault="00290FE8" w:rsidP="008749EE">
      <w:pPr>
        <w:spacing w:after="0"/>
        <w:rPr>
          <w:lang w:val="fr-CA"/>
        </w:rPr>
      </w:pPr>
      <w:hyperlink r:id="rId14" w:history="1">
        <w:r w:rsidR="008749EE" w:rsidRPr="0092771F">
          <w:rPr>
            <w:rStyle w:val="Hyperlink"/>
            <w:lang w:val="fr-CA"/>
          </w:rPr>
          <w:t xml:space="preserve">Opinion: </w:t>
        </w:r>
        <w:proofErr w:type="spellStart"/>
        <w:r w:rsidR="008749EE" w:rsidRPr="0092771F">
          <w:rPr>
            <w:rStyle w:val="Hyperlink"/>
            <w:lang w:val="fr-CA"/>
          </w:rPr>
          <w:t>Heiress</w:t>
        </w:r>
        <w:proofErr w:type="spellEnd"/>
        <w:r w:rsidR="008749EE" w:rsidRPr="0092771F">
          <w:rPr>
            <w:rStyle w:val="Hyperlink"/>
            <w:lang w:val="fr-CA"/>
          </w:rPr>
          <w:t xml:space="preserve">’ gifts to </w:t>
        </w:r>
        <w:proofErr w:type="spellStart"/>
        <w:r w:rsidR="008749EE" w:rsidRPr="0092771F">
          <w:rPr>
            <w:rStyle w:val="Hyperlink"/>
            <w:lang w:val="fr-CA"/>
          </w:rPr>
          <w:t>medical</w:t>
        </w:r>
        <w:proofErr w:type="spellEnd"/>
        <w:r w:rsidR="008749EE" w:rsidRPr="0092771F">
          <w:rPr>
            <w:rStyle w:val="Hyperlink"/>
            <w:lang w:val="fr-CA"/>
          </w:rPr>
          <w:t xml:space="preserve"> </w:t>
        </w:r>
        <w:proofErr w:type="spellStart"/>
        <w:r w:rsidR="008749EE" w:rsidRPr="0092771F">
          <w:rPr>
            <w:rStyle w:val="Hyperlink"/>
            <w:lang w:val="fr-CA"/>
          </w:rPr>
          <w:t>workers</w:t>
        </w:r>
        <w:proofErr w:type="spellEnd"/>
        <w:r w:rsidR="008749EE" w:rsidRPr="0092771F">
          <w:rPr>
            <w:rStyle w:val="Hyperlink"/>
            <w:lang w:val="fr-CA"/>
          </w:rPr>
          <w:t xml:space="preserve"> </w:t>
        </w:r>
        <w:proofErr w:type="spellStart"/>
        <w:r w:rsidR="008749EE" w:rsidRPr="0092771F">
          <w:rPr>
            <w:rStyle w:val="Hyperlink"/>
            <w:lang w:val="fr-CA"/>
          </w:rPr>
          <w:t>raise</w:t>
        </w:r>
        <w:proofErr w:type="spellEnd"/>
        <w:r w:rsidR="008749EE" w:rsidRPr="0092771F">
          <w:rPr>
            <w:rStyle w:val="Hyperlink"/>
            <w:lang w:val="fr-CA"/>
          </w:rPr>
          <w:t xml:space="preserve"> </w:t>
        </w:r>
        <w:proofErr w:type="spellStart"/>
        <w:r w:rsidR="008749EE" w:rsidRPr="0092771F">
          <w:rPr>
            <w:rStyle w:val="Hyperlink"/>
            <w:lang w:val="fr-CA"/>
          </w:rPr>
          <w:t>thorny</w:t>
        </w:r>
        <w:proofErr w:type="spellEnd"/>
        <w:r w:rsidR="008749EE" w:rsidRPr="0092771F">
          <w:rPr>
            <w:rStyle w:val="Hyperlink"/>
            <w:lang w:val="fr-CA"/>
          </w:rPr>
          <w:t xml:space="preserve"> </w:t>
        </w:r>
        <w:proofErr w:type="spellStart"/>
        <w:r w:rsidR="008749EE" w:rsidRPr="0092771F">
          <w:rPr>
            <w:rStyle w:val="Hyperlink"/>
            <w:lang w:val="fr-CA"/>
          </w:rPr>
          <w:t>ethical</w:t>
        </w:r>
        <w:proofErr w:type="spellEnd"/>
        <w:r w:rsidR="008749EE" w:rsidRPr="0092771F">
          <w:rPr>
            <w:rStyle w:val="Hyperlink"/>
            <w:lang w:val="fr-CA"/>
          </w:rPr>
          <w:t xml:space="preserve"> issues</w:t>
        </w:r>
      </w:hyperlink>
    </w:p>
    <w:p w14:paraId="30CB3018" w14:textId="77777777" w:rsidR="008749EE" w:rsidRPr="0092771F" w:rsidRDefault="00290FE8" w:rsidP="008749EE">
      <w:pPr>
        <w:rPr>
          <w:lang w:val="fr-CA"/>
        </w:rPr>
      </w:pPr>
      <w:hyperlink r:id="rId15" w:history="1">
        <w:proofErr w:type="spellStart"/>
        <w:r w:rsidR="008749EE" w:rsidRPr="0092771F">
          <w:rPr>
            <w:rStyle w:val="Hyperlink"/>
            <w:lang w:val="fr-CA"/>
          </w:rPr>
          <w:t>When</w:t>
        </w:r>
        <w:proofErr w:type="spellEnd"/>
        <w:r w:rsidR="008749EE" w:rsidRPr="0092771F">
          <w:rPr>
            <w:rStyle w:val="Hyperlink"/>
            <w:lang w:val="fr-CA"/>
          </w:rPr>
          <w:t xml:space="preserve"> </w:t>
        </w:r>
        <w:proofErr w:type="spellStart"/>
        <w:r w:rsidR="008749EE" w:rsidRPr="0092771F">
          <w:rPr>
            <w:rStyle w:val="Hyperlink"/>
            <w:lang w:val="fr-CA"/>
          </w:rPr>
          <w:t>Doctors</w:t>
        </w:r>
        <w:proofErr w:type="spellEnd"/>
        <w:r w:rsidR="008749EE" w:rsidRPr="0092771F">
          <w:rPr>
            <w:rStyle w:val="Hyperlink"/>
            <w:lang w:val="fr-CA"/>
          </w:rPr>
          <w:t xml:space="preserve"> </w:t>
        </w:r>
        <w:proofErr w:type="spellStart"/>
        <w:r w:rsidR="008749EE" w:rsidRPr="0092771F">
          <w:rPr>
            <w:rStyle w:val="Hyperlink"/>
            <w:lang w:val="fr-CA"/>
          </w:rPr>
          <w:t>Give</w:t>
        </w:r>
        <w:proofErr w:type="spellEnd"/>
        <w:r w:rsidR="008749EE" w:rsidRPr="0092771F">
          <w:rPr>
            <w:rStyle w:val="Hyperlink"/>
            <w:lang w:val="fr-CA"/>
          </w:rPr>
          <w:t xml:space="preserve"> </w:t>
        </w:r>
        <w:proofErr w:type="spellStart"/>
        <w:r w:rsidR="008749EE" w:rsidRPr="0092771F">
          <w:rPr>
            <w:rStyle w:val="Hyperlink"/>
            <w:lang w:val="fr-CA"/>
          </w:rPr>
          <w:t>Their</w:t>
        </w:r>
        <w:proofErr w:type="spellEnd"/>
        <w:r w:rsidR="008749EE" w:rsidRPr="0092771F">
          <w:rPr>
            <w:rStyle w:val="Hyperlink"/>
            <w:lang w:val="fr-CA"/>
          </w:rPr>
          <w:t xml:space="preserve"> Patients Gifts</w:t>
        </w:r>
      </w:hyperlink>
    </w:p>
    <w:p w14:paraId="5348F21A" w14:textId="48B9AFD6" w:rsidR="00296C58" w:rsidRPr="0092771F" w:rsidRDefault="00296C58" w:rsidP="00B95E08">
      <w:pPr>
        <w:pStyle w:val="CSMLS-Body"/>
        <w:rPr>
          <w:lang w:val="fr-CA"/>
        </w:rPr>
      </w:pPr>
    </w:p>
    <w:sectPr w:rsidR="00296C58" w:rsidRPr="0092771F" w:rsidSect="0026228C">
      <w:headerReference w:type="default" r:id="rId16"/>
      <w:footerReference w:type="default" r:id="rId17"/>
      <w:pgSz w:w="12240" w:h="15840"/>
      <w:pgMar w:top="1080" w:right="1325"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57C5" w14:textId="77777777" w:rsidR="00290FE8" w:rsidRDefault="00290FE8" w:rsidP="00073FEC">
      <w:pPr>
        <w:spacing w:after="0" w:line="240" w:lineRule="auto"/>
      </w:pPr>
      <w:r>
        <w:separator/>
      </w:r>
    </w:p>
  </w:endnote>
  <w:endnote w:type="continuationSeparator" w:id="0">
    <w:p w14:paraId="0E5A10F0" w14:textId="77777777" w:rsidR="00290FE8" w:rsidRDefault="00290FE8"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C6BD" w14:textId="4C5D9037" w:rsidR="00073FEC" w:rsidRPr="00346FAE" w:rsidRDefault="0092771F" w:rsidP="00346FAE">
    <w:pPr>
      <w:jc w:val="center"/>
      <w:rPr>
        <w:rFonts w:ascii="Rockwell" w:hAnsi="Rockwell"/>
        <w:sz w:val="18"/>
        <w:szCs w:val="18"/>
      </w:rPr>
    </w:pPr>
    <w:r w:rsidRPr="00D00093">
      <w:rPr>
        <w:rFonts w:ascii="Rockwell" w:hAnsi="Rockwell"/>
        <w:sz w:val="18"/>
        <w:szCs w:val="18"/>
        <w:lang w:val="fr-CA"/>
      </w:rPr>
      <w:t xml:space="preserve">Suivez </w:t>
    </w:r>
    <w:hyperlink r:id="rId1" w:history="1">
      <w:r w:rsidRPr="00D00093">
        <w:rPr>
          <w:rStyle w:val="Hyperlink"/>
          <w:rFonts w:ascii="Rockwell" w:hAnsi="Rockwell"/>
          <w:sz w:val="18"/>
          <w:szCs w:val="18"/>
          <w:lang w:val="fr-CA"/>
        </w:rPr>
        <w:t>le cours gratuit sur le Code de déontologie</w:t>
      </w:r>
    </w:hyperlink>
    <w:r w:rsidRPr="00D00093">
      <w:rPr>
        <w:rFonts w:ascii="Rockwell" w:hAnsi="Rockwell"/>
        <w:sz w:val="18"/>
        <w:szCs w:val="18"/>
        <w:lang w:val="fr-CA"/>
      </w:rPr>
      <w:t xml:space="preserve"> </w:t>
    </w:r>
    <w:r>
      <w:rPr>
        <w:rFonts w:ascii="Rockwell" w:hAnsi="Rockwell"/>
        <w:sz w:val="18"/>
        <w:szCs w:val="18"/>
        <w:lang w:val="fr-CA"/>
      </w:rPr>
      <w:t>aujourd’hui</w:t>
    </w:r>
    <w:r w:rsidRPr="00D00093">
      <w:rPr>
        <w:rFonts w:ascii="Rockwell" w:hAnsi="Rockwell"/>
        <w:sz w:val="18"/>
        <w:szCs w:val="18"/>
        <w:lang w:val="fr-CA"/>
      </w:rPr>
      <w:t>!</w:t>
    </w:r>
  </w:p>
  <w:p w14:paraId="47771FE0" w14:textId="77777777" w:rsidR="00073FEC" w:rsidRDefault="0007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FD9C0" w14:textId="77777777" w:rsidR="00290FE8" w:rsidRDefault="00290FE8" w:rsidP="00073FEC">
      <w:pPr>
        <w:spacing w:after="0" w:line="240" w:lineRule="auto"/>
      </w:pPr>
      <w:r>
        <w:separator/>
      </w:r>
    </w:p>
  </w:footnote>
  <w:footnote w:type="continuationSeparator" w:id="0">
    <w:p w14:paraId="7BB399AF" w14:textId="77777777" w:rsidR="00290FE8" w:rsidRDefault="00290FE8" w:rsidP="000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9D48" w14:textId="68B79D1B" w:rsidR="00073FEC" w:rsidRDefault="00073FEC" w:rsidP="00073FEC">
    <w:pPr>
      <w:pStyle w:val="Header"/>
      <w:jc w:val="center"/>
    </w:pPr>
    <w:r>
      <w:rPr>
        <w:noProof/>
        <w:lang w:eastAsia="en-CA"/>
      </w:rPr>
      <w:drawing>
        <wp:inline distT="0" distB="0" distL="0" distR="0" wp14:anchorId="67130187" wp14:editId="1C886562">
          <wp:extent cx="2505075" cy="70248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553093" cy="715947"/>
                  </a:xfrm>
                  <a:prstGeom prst="rect">
                    <a:avLst/>
                  </a:prstGeom>
                </pic:spPr>
              </pic:pic>
            </a:graphicData>
          </a:graphic>
        </wp:inline>
      </w:drawing>
    </w:r>
  </w:p>
  <w:p w14:paraId="3288822D" w14:textId="77777777" w:rsidR="0044176E" w:rsidRDefault="0044176E" w:rsidP="00073F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6CD5"/>
    <w:multiLevelType w:val="hybridMultilevel"/>
    <w:tmpl w:val="0DEED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D80A0A"/>
    <w:multiLevelType w:val="hybridMultilevel"/>
    <w:tmpl w:val="FA22A588"/>
    <w:lvl w:ilvl="0" w:tplc="FC7E2C0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D2AFD"/>
    <w:multiLevelType w:val="hybridMultilevel"/>
    <w:tmpl w:val="E1B80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C85FBD"/>
    <w:multiLevelType w:val="hybridMultilevel"/>
    <w:tmpl w:val="53B479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9946DC"/>
    <w:multiLevelType w:val="hybridMultilevel"/>
    <w:tmpl w:val="6B2E4C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8E3769"/>
    <w:multiLevelType w:val="hybridMultilevel"/>
    <w:tmpl w:val="0C3EEA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ysbAEQgNDQ1NDCyUdpeDU4uLM/DyQAuNaALrM0IYsAAAA"/>
  </w:docVars>
  <w:rsids>
    <w:rsidRoot w:val="00073FEC"/>
    <w:rsid w:val="0000353F"/>
    <w:rsid w:val="00034D2D"/>
    <w:rsid w:val="00073FEC"/>
    <w:rsid w:val="000C150F"/>
    <w:rsid w:val="000F1E4A"/>
    <w:rsid w:val="00113348"/>
    <w:rsid w:val="001868B3"/>
    <w:rsid w:val="00190424"/>
    <w:rsid w:val="00195707"/>
    <w:rsid w:val="0025018C"/>
    <w:rsid w:val="0026228C"/>
    <w:rsid w:val="00290FE8"/>
    <w:rsid w:val="00296847"/>
    <w:rsid w:val="00296C58"/>
    <w:rsid w:val="002C565E"/>
    <w:rsid w:val="00346FAE"/>
    <w:rsid w:val="003527F3"/>
    <w:rsid w:val="0041538E"/>
    <w:rsid w:val="0041649E"/>
    <w:rsid w:val="00421C04"/>
    <w:rsid w:val="0044176E"/>
    <w:rsid w:val="004453F6"/>
    <w:rsid w:val="004B5C44"/>
    <w:rsid w:val="00577C05"/>
    <w:rsid w:val="005A356B"/>
    <w:rsid w:val="005C42C8"/>
    <w:rsid w:val="00650160"/>
    <w:rsid w:val="00650EBE"/>
    <w:rsid w:val="007348AA"/>
    <w:rsid w:val="007A51EA"/>
    <w:rsid w:val="007C0989"/>
    <w:rsid w:val="007F7A39"/>
    <w:rsid w:val="008749EE"/>
    <w:rsid w:val="009274E6"/>
    <w:rsid w:val="0092771F"/>
    <w:rsid w:val="0095321E"/>
    <w:rsid w:val="0097374B"/>
    <w:rsid w:val="00A4611D"/>
    <w:rsid w:val="00A84E1A"/>
    <w:rsid w:val="00AB6218"/>
    <w:rsid w:val="00B75685"/>
    <w:rsid w:val="00B83F69"/>
    <w:rsid w:val="00B95E08"/>
    <w:rsid w:val="00BA2A91"/>
    <w:rsid w:val="00C60084"/>
    <w:rsid w:val="00CC3B58"/>
    <w:rsid w:val="00D654BE"/>
    <w:rsid w:val="00DF0495"/>
    <w:rsid w:val="00DF1470"/>
    <w:rsid w:val="00E30CD8"/>
    <w:rsid w:val="00E372E3"/>
    <w:rsid w:val="00EC33B0"/>
    <w:rsid w:val="00ED0773"/>
    <w:rsid w:val="00F8035B"/>
    <w:rsid w:val="00FA2801"/>
    <w:rsid w:val="00FA3872"/>
    <w:rsid w:val="00FB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CC81"/>
  <w15:docId w15:val="{47A0019E-362C-4021-8EE5-4F5B183B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styleId="BalloonText">
    <w:name w:val="Balloon Text"/>
    <w:basedOn w:val="Normal"/>
    <w:link w:val="BalloonTextChar"/>
    <w:uiPriority w:val="99"/>
    <w:semiHidden/>
    <w:unhideWhenUsed/>
    <w:rsid w:val="007F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39"/>
    <w:rPr>
      <w:rFonts w:ascii="Tahoma" w:hAnsi="Tahoma" w:cs="Tahoma"/>
      <w:sz w:val="16"/>
      <w:szCs w:val="16"/>
      <w:lang w:val="en-CA"/>
    </w:rPr>
  </w:style>
  <w:style w:type="paragraph" w:customStyle="1" w:styleId="CSMLS-Body">
    <w:name w:val="CSMLS-Body"/>
    <w:qFormat/>
    <w:rsid w:val="007F7A39"/>
    <w:pPr>
      <w:spacing w:line="240" w:lineRule="auto"/>
    </w:pPr>
    <w:rPr>
      <w:rFonts w:ascii="Rockwell" w:eastAsia="MS Mincho" w:hAnsi="Rockwell" w:cs="Times New Roman"/>
      <w:szCs w:val="20"/>
      <w:lang w:val="en-CA"/>
    </w:rPr>
  </w:style>
  <w:style w:type="paragraph" w:customStyle="1" w:styleId="CSMLS-Heading">
    <w:name w:val="CSMLS-Heading"/>
    <w:link w:val="CSMLS-HeadingChar"/>
    <w:qFormat/>
    <w:rsid w:val="007F7A3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7F7A39"/>
    <w:rPr>
      <w:rFonts w:ascii="Century Gothic" w:eastAsia="MS Mincho" w:hAnsi="Century Gothic" w:cs="Times New Roman"/>
      <w:color w:val="0078AE"/>
      <w:sz w:val="32"/>
      <w:szCs w:val="24"/>
      <w:lang w:val="en-CA"/>
    </w:rPr>
  </w:style>
  <w:style w:type="paragraph" w:customStyle="1" w:styleId="CSMLS-SubHeading">
    <w:name w:val="CSMLS-SubHeading"/>
    <w:next w:val="Normal"/>
    <w:qFormat/>
    <w:rsid w:val="007F7A39"/>
    <w:pPr>
      <w:suppressAutoHyphens/>
      <w:spacing w:line="240" w:lineRule="auto"/>
    </w:pPr>
    <w:rPr>
      <w:rFonts w:ascii="Century Gothic" w:eastAsia="MS Mincho" w:hAnsi="Century Gothic" w:cs="Times New Roman"/>
      <w:b/>
      <w:bCs/>
      <w:sz w:val="20"/>
      <w:szCs w:val="20"/>
      <w:lang w:val="en-CA"/>
    </w:rPr>
  </w:style>
  <w:style w:type="character" w:customStyle="1" w:styleId="UnresolvedMention2">
    <w:name w:val="Unresolved Mention2"/>
    <w:basedOn w:val="DefaultParagraphFont"/>
    <w:uiPriority w:val="99"/>
    <w:semiHidden/>
    <w:unhideWhenUsed/>
    <w:rsid w:val="000C150F"/>
    <w:rPr>
      <w:color w:val="808080"/>
      <w:shd w:val="clear" w:color="auto" w:fill="E6E6E6"/>
    </w:rPr>
  </w:style>
  <w:style w:type="table" w:styleId="TableGrid">
    <w:name w:val="Table Grid"/>
    <w:basedOn w:val="TableNormal"/>
    <w:uiPriority w:val="39"/>
    <w:rsid w:val="00B9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78457">
      <w:bodyDiv w:val="1"/>
      <w:marLeft w:val="0"/>
      <w:marRight w:val="0"/>
      <w:marTop w:val="0"/>
      <w:marBottom w:val="0"/>
      <w:divBdr>
        <w:top w:val="none" w:sz="0" w:space="0" w:color="auto"/>
        <w:left w:val="none" w:sz="0" w:space="0" w:color="auto"/>
        <w:bottom w:val="none" w:sz="0" w:space="0" w:color="auto"/>
        <w:right w:val="none" w:sz="0" w:space="0" w:color="auto"/>
      </w:divBdr>
    </w:div>
    <w:div w:id="3967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ec.com/news-story/9249005-hamilton-nurse-has-licence-revoked-over-thousands-in-loans-from-patient/?utm_source=facebook&amp;source=the%20hamilton%20spectator&amp;utm_medium=socialmedia&amp;utm_campaign=900am&amp;utm_campaign_id=localnews&amp;utm_content=hamilton-nurse-has-license-revoked-over-thousands-in-loans-from-patient" TargetMode="External"/><Relationship Id="rId13" Type="http://schemas.openxmlformats.org/officeDocument/2006/relationships/hyperlink" Target="https://www.theglobeandmail.com/opinion/article-winnipeg-chocolategate-does-a-box-of-treats-come-with-str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y.cno.org/Search/Details/81635ef1-b17c-4267-930e-68521bfafce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o.org/fr/exercice-de-la-profession/revues-et-bulletins/lexcellence/resume-des-decisions/resume-des-decisions---juin-20192/Steen-IC04775/" TargetMode="External"/><Relationship Id="rId5" Type="http://schemas.openxmlformats.org/officeDocument/2006/relationships/webSettings" Target="webSettings.xml"/><Relationship Id="rId15" Type="http://schemas.openxmlformats.org/officeDocument/2006/relationships/hyperlink" Target="https://www.nytimes.com/2018/05/10/well/live/when-doctors-give-their-patients-gifts.html" TargetMode="External"/><Relationship Id="rId10" Type="http://schemas.openxmlformats.org/officeDocument/2006/relationships/hyperlink" Target="https://www.csmls.org/About-Us/Our-Members/Code-of-Conduct.aspx?lang=fr-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smls.org/A-propos-de-nous/Nos-membres/Code-de-deontologie.aspx?lang=fr-CA" TargetMode="External"/><Relationship Id="rId14" Type="http://schemas.openxmlformats.org/officeDocument/2006/relationships/hyperlink" Target="https://www.nbcnews.com/healthmain/opinion-heiress-gifts-medical-workers-raise-thorny-ethical-issues-8C1111865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earn.csmls.org/topclass/login.do?redirectTo=%2Fexpand.do%3Ftemplate%3DCatalogBrowse%26catId%3D1394%26CatalogBrowse%26catId%3D1394%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F88DD9BB-2530-444B-8E29-38C2E25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Laura Zychla</cp:lastModifiedBy>
  <cp:revision>2</cp:revision>
  <dcterms:created xsi:type="dcterms:W3CDTF">2019-09-04T17:40:00Z</dcterms:created>
  <dcterms:modified xsi:type="dcterms:W3CDTF">2019-09-04T17:40:00Z</dcterms:modified>
</cp:coreProperties>
</file>