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AD2F" w14:textId="77777777" w:rsidR="00BC51F0" w:rsidRDefault="00BC51F0">
      <w:pPr>
        <w:jc w:val="center"/>
      </w:pPr>
    </w:p>
    <w:p w14:paraId="17A1DE36" w14:textId="572995F5" w:rsidR="00BC51F0" w:rsidRDefault="00A80AA2">
      <w:pPr>
        <w:pBdr>
          <w:top w:val="nil"/>
          <w:left w:val="nil"/>
          <w:bottom w:val="nil"/>
          <w:right w:val="nil"/>
          <w:between w:val="nil"/>
        </w:pBdr>
        <w:spacing w:line="240" w:lineRule="auto"/>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Ethics on Demand –</w:t>
      </w:r>
      <w:r w:rsidR="001C6F1A">
        <w:rPr>
          <w:rFonts w:ascii="Century Gothic" w:eastAsia="Century Gothic" w:hAnsi="Century Gothic" w:cs="Century Gothic"/>
          <w:color w:val="0078AE"/>
          <w:sz w:val="32"/>
          <w:szCs w:val="32"/>
        </w:rPr>
        <w:t xml:space="preserve"> </w:t>
      </w:r>
      <w:r w:rsidR="001F265A">
        <w:rPr>
          <w:rFonts w:ascii="Century Gothic" w:eastAsia="Century Gothic" w:hAnsi="Century Gothic" w:cs="Century Gothic"/>
          <w:color w:val="0078AE"/>
          <w:sz w:val="32"/>
          <w:szCs w:val="32"/>
        </w:rPr>
        <w:t>Illegal Injections</w:t>
      </w:r>
    </w:p>
    <w:p w14:paraId="3C9B60CD" w14:textId="77777777" w:rsidR="00F02A2F" w:rsidRPr="00F02A2F" w:rsidRDefault="00F02A2F">
      <w:pPr>
        <w:pBdr>
          <w:top w:val="nil"/>
          <w:left w:val="nil"/>
          <w:bottom w:val="nil"/>
          <w:right w:val="nil"/>
          <w:between w:val="nil"/>
        </w:pBdr>
        <w:spacing w:line="240" w:lineRule="auto"/>
        <w:rPr>
          <w:rFonts w:ascii="Century Gothic" w:eastAsia="Century Gothic" w:hAnsi="Century Gothic" w:cs="Century Gothic"/>
          <w:color w:val="0078AE"/>
          <w:sz w:val="10"/>
          <w:szCs w:val="10"/>
        </w:rPr>
      </w:pPr>
    </w:p>
    <w:p w14:paraId="37D673F1" w14:textId="028EBEE6" w:rsidR="00BC51F0" w:rsidRPr="001C6F1A" w:rsidRDefault="00A80AA2">
      <w:pPr>
        <w:pBdr>
          <w:top w:val="nil"/>
          <w:left w:val="nil"/>
          <w:bottom w:val="nil"/>
          <w:right w:val="nil"/>
          <w:between w:val="nil"/>
        </w:pBdr>
        <w:spacing w:line="240" w:lineRule="auto"/>
        <w:rPr>
          <w:rFonts w:ascii="Century Gothic" w:eastAsia="Rockwell" w:hAnsi="Century Gothic" w:cstheme="majorHAnsi"/>
          <w:b/>
          <w:sz w:val="20"/>
          <w:szCs w:val="20"/>
        </w:rPr>
      </w:pPr>
      <w:r w:rsidRPr="001C6F1A">
        <w:rPr>
          <w:rFonts w:ascii="Century Gothic" w:eastAsia="Century Gothic" w:hAnsi="Century Gothic" w:cstheme="majorHAnsi"/>
          <w:b/>
          <w:color w:val="000000"/>
          <w:sz w:val="20"/>
          <w:szCs w:val="20"/>
        </w:rPr>
        <w:t xml:space="preserve">Article: </w:t>
      </w:r>
      <w:hyperlink r:id="rId7" w:history="1">
        <w:r w:rsidR="001F265A" w:rsidRPr="001F265A">
          <w:rPr>
            <w:rStyle w:val="Hyperlink"/>
          </w:rPr>
          <w:t>North Andover woman facing federal charges on allegations she provided illegal butt injections for years, endangering clients</w:t>
        </w:r>
      </w:hyperlink>
    </w:p>
    <w:p w14:paraId="392AB27A" w14:textId="77777777" w:rsidR="00BC51F0" w:rsidRPr="00F02A2F"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sidRPr="00F02A2F">
        <w:rPr>
          <w:rFonts w:ascii="Century Gothic" w:eastAsia="Century Gothic" w:hAnsi="Century Gothic" w:cs="Century Gothic"/>
          <w:b/>
          <w:color w:val="000000"/>
          <w:sz w:val="20"/>
          <w:szCs w:val="20"/>
        </w:rPr>
        <w:t>What was the situation?</w:t>
      </w:r>
    </w:p>
    <w:p w14:paraId="03FB0976" w14:textId="524C22BF" w:rsidR="001F265A" w:rsidRPr="001F265A" w:rsidRDefault="001F265A" w:rsidP="001F265A">
      <w:pPr>
        <w:pBdr>
          <w:top w:val="nil"/>
          <w:left w:val="nil"/>
          <w:bottom w:val="nil"/>
          <w:right w:val="nil"/>
          <w:between w:val="nil"/>
        </w:pBdr>
        <w:spacing w:line="240" w:lineRule="auto"/>
        <w:rPr>
          <w:rFonts w:ascii="Rockwell" w:eastAsia="Rockwell" w:hAnsi="Rockwell" w:cs="Rockwell"/>
        </w:rPr>
      </w:pPr>
      <w:r w:rsidRPr="001F265A">
        <w:rPr>
          <w:rFonts w:ascii="Rockwell" w:eastAsia="Rockwell" w:hAnsi="Rockwell" w:cs="Rockwell"/>
        </w:rPr>
        <w:t xml:space="preserve">A woman is facing federal charges after </w:t>
      </w:r>
      <w:r w:rsidR="00795D83">
        <w:rPr>
          <w:rFonts w:ascii="Rockwell" w:eastAsia="Rockwell" w:hAnsi="Rockwell" w:cs="Rockwell"/>
        </w:rPr>
        <w:t>she was</w:t>
      </w:r>
      <w:r>
        <w:rPr>
          <w:rFonts w:ascii="Rockwell" w:eastAsia="Rockwell" w:hAnsi="Rockwell" w:cs="Rockwell"/>
        </w:rPr>
        <w:t xml:space="preserve"> found </w:t>
      </w:r>
      <w:r w:rsidRPr="001F265A">
        <w:rPr>
          <w:rFonts w:ascii="Rockwell" w:eastAsia="Rockwell" w:hAnsi="Rockwell" w:cs="Rockwell"/>
        </w:rPr>
        <w:t xml:space="preserve">performing illegal buttock </w:t>
      </w:r>
      <w:r>
        <w:rPr>
          <w:rFonts w:ascii="Rockwell" w:eastAsia="Rockwell" w:hAnsi="Rockwell" w:cs="Rockwell"/>
        </w:rPr>
        <w:t xml:space="preserve">and facial </w:t>
      </w:r>
      <w:r w:rsidRPr="001F265A">
        <w:rPr>
          <w:rFonts w:ascii="Rockwell" w:eastAsia="Rockwell" w:hAnsi="Rockwell" w:cs="Rockwell"/>
        </w:rPr>
        <w:t>injections</w:t>
      </w:r>
      <w:r>
        <w:rPr>
          <w:rFonts w:ascii="Rockwell" w:eastAsia="Rockwell" w:hAnsi="Rockwell" w:cs="Rockwell"/>
        </w:rPr>
        <w:t xml:space="preserve"> for many years</w:t>
      </w:r>
      <w:r w:rsidR="001332AB">
        <w:rPr>
          <w:rFonts w:ascii="Rockwell" w:eastAsia="Rockwell" w:hAnsi="Rockwell" w:cs="Rockwell"/>
        </w:rPr>
        <w:t xml:space="preserve"> out of her home.</w:t>
      </w:r>
      <w:r w:rsidRPr="001F265A">
        <w:rPr>
          <w:rFonts w:ascii="Rockwell" w:hAnsi="Rockwell"/>
        </w:rPr>
        <w:t xml:space="preserve"> </w:t>
      </w:r>
      <w:r w:rsidRPr="001F265A">
        <w:rPr>
          <w:rFonts w:ascii="Rockwell" w:hAnsi="Rockwell"/>
          <w:color w:val="222222"/>
          <w:shd w:val="clear" w:color="auto" w:fill="FFFFFF"/>
        </w:rPr>
        <w:t xml:space="preserve">Two Boston-area witnesses reported that </w:t>
      </w:r>
      <w:r w:rsidR="00795D83">
        <w:rPr>
          <w:rFonts w:ascii="Rockwell" w:hAnsi="Rockwell"/>
          <w:color w:val="222222"/>
          <w:shd w:val="clear" w:color="auto" w:fill="FFFFFF"/>
        </w:rPr>
        <w:t xml:space="preserve">the woman </w:t>
      </w:r>
      <w:r w:rsidRPr="001F265A">
        <w:rPr>
          <w:rFonts w:ascii="Rockwell" w:hAnsi="Rockwell"/>
          <w:color w:val="222222"/>
          <w:shd w:val="clear" w:color="auto" w:fill="FFFFFF"/>
        </w:rPr>
        <w:t>told them the</w:t>
      </w:r>
      <w:r w:rsidR="00795D83">
        <w:rPr>
          <w:rFonts w:ascii="Rockwell" w:hAnsi="Rockwell"/>
          <w:color w:val="222222"/>
          <w:shd w:val="clear" w:color="auto" w:fill="FFFFFF"/>
        </w:rPr>
        <w:t>y</w:t>
      </w:r>
      <w:r w:rsidRPr="001F265A">
        <w:rPr>
          <w:rFonts w:ascii="Rockwell" w:hAnsi="Rockwell"/>
          <w:color w:val="222222"/>
          <w:shd w:val="clear" w:color="auto" w:fill="FFFFFF"/>
        </w:rPr>
        <w:t xml:space="preserve"> were being injected with was hyaluronic acid, a legal substance </w:t>
      </w:r>
      <w:r w:rsidRPr="001F265A">
        <w:rPr>
          <w:rFonts w:ascii="Rockwell" w:hAnsi="Rockwell"/>
          <w:shd w:val="clear" w:color="auto" w:fill="FFFFFF"/>
        </w:rPr>
        <w:t>often used</w:t>
      </w:r>
      <w:r w:rsidRPr="001F265A">
        <w:rPr>
          <w:rFonts w:ascii="Rockwell" w:hAnsi="Rockwell"/>
          <w:color w:val="222222"/>
          <w:shd w:val="clear" w:color="auto" w:fill="FFFFFF"/>
        </w:rPr>
        <w:t xml:space="preserve"> as a lip or wrinkle filler. A lab determined the liquid </w:t>
      </w:r>
      <w:r w:rsidR="00795D83">
        <w:rPr>
          <w:rFonts w:ascii="Rockwell" w:hAnsi="Rockwell"/>
          <w:color w:val="222222"/>
          <w:shd w:val="clear" w:color="auto" w:fill="FFFFFF"/>
        </w:rPr>
        <w:t xml:space="preserve">seized from the accused’s home </w:t>
      </w:r>
      <w:r w:rsidRPr="001F265A">
        <w:rPr>
          <w:rFonts w:ascii="Rockwell" w:hAnsi="Rockwell"/>
          <w:color w:val="222222"/>
          <w:shd w:val="clear" w:color="auto" w:fill="FFFFFF"/>
        </w:rPr>
        <w:t>was silicone oil, which is not FDA approved for any body enhancements</w:t>
      </w:r>
      <w:r w:rsidR="00795D83">
        <w:rPr>
          <w:rFonts w:ascii="Rockwell" w:hAnsi="Rockwell"/>
          <w:color w:val="222222"/>
          <w:shd w:val="clear" w:color="auto" w:fill="FFFFFF"/>
        </w:rPr>
        <w:t>.</w:t>
      </w:r>
      <w:r w:rsidRPr="001F265A">
        <w:rPr>
          <w:rFonts w:ascii="Rockwell" w:hAnsi="Rockwell"/>
          <w:color w:val="222222"/>
          <w:shd w:val="clear" w:color="auto" w:fill="FFFFFF"/>
        </w:rPr>
        <w:t xml:space="preserve"> </w:t>
      </w:r>
    </w:p>
    <w:p w14:paraId="49D418C6" w14:textId="23A7FE7F"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went wrong?</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C51F0" w14:paraId="74432435" w14:textId="77777777">
        <w:tc>
          <w:tcPr>
            <w:tcW w:w="3116" w:type="dxa"/>
          </w:tcPr>
          <w:p w14:paraId="68C74350" w14:textId="1A1BB9E2" w:rsidR="00BC51F0" w:rsidRPr="00F02A2F" w:rsidRDefault="00A80AA2">
            <w:pPr>
              <w:jc w:val="center"/>
              <w:rPr>
                <w:rFonts w:ascii="Rockwell" w:eastAsia="Rockwell" w:hAnsi="Rockwell" w:cs="Rockwell"/>
              </w:rPr>
            </w:pPr>
            <w:r w:rsidRPr="00F02A2F">
              <w:rPr>
                <w:rFonts w:ascii="Rockwell" w:eastAsia="Rockwell" w:hAnsi="Rockwell" w:cs="Rockwell"/>
              </w:rPr>
              <w:t xml:space="preserve">Lack of </w:t>
            </w:r>
            <w:r w:rsidR="00DB70A8">
              <w:rPr>
                <w:rFonts w:ascii="Rockwell" w:eastAsia="Rockwell" w:hAnsi="Rockwell" w:cs="Rockwell"/>
              </w:rPr>
              <w:t>safety standards and respect for patients</w:t>
            </w:r>
          </w:p>
          <w:p w14:paraId="3F6E36AB" w14:textId="77777777" w:rsidR="00BC51F0" w:rsidRPr="006E2222" w:rsidRDefault="00BC51F0">
            <w:pPr>
              <w:jc w:val="center"/>
              <w:rPr>
                <w:rFonts w:ascii="Rockwell" w:eastAsia="Rockwell" w:hAnsi="Rockwell" w:cs="Rockwell"/>
                <w:sz w:val="16"/>
                <w:szCs w:val="16"/>
              </w:rPr>
            </w:pPr>
          </w:p>
        </w:tc>
        <w:tc>
          <w:tcPr>
            <w:tcW w:w="3117" w:type="dxa"/>
          </w:tcPr>
          <w:p w14:paraId="23C18774" w14:textId="2EF0887C" w:rsidR="00BC51F0" w:rsidRPr="00F02A2F" w:rsidRDefault="00DB70A8" w:rsidP="00F02A2F">
            <w:pPr>
              <w:spacing w:after="100"/>
              <w:jc w:val="center"/>
              <w:rPr>
                <w:rFonts w:ascii="Rockwell" w:eastAsia="Rockwell" w:hAnsi="Rockwell" w:cs="Rockwell"/>
              </w:rPr>
            </w:pPr>
            <w:r>
              <w:rPr>
                <w:rFonts w:ascii="Rockwell" w:eastAsia="Rockwell" w:hAnsi="Rockwell" w:cs="Rockwell"/>
              </w:rPr>
              <w:t>Practicing illegally</w:t>
            </w:r>
          </w:p>
        </w:tc>
        <w:tc>
          <w:tcPr>
            <w:tcW w:w="3117" w:type="dxa"/>
          </w:tcPr>
          <w:p w14:paraId="1DA23E77" w14:textId="4292D858" w:rsidR="00BC51F0" w:rsidRPr="00F02A2F" w:rsidRDefault="00F02A2F">
            <w:pPr>
              <w:jc w:val="center"/>
              <w:rPr>
                <w:rFonts w:ascii="Rockwell" w:eastAsia="Rockwell" w:hAnsi="Rockwell" w:cs="Rockwell"/>
              </w:rPr>
            </w:pPr>
            <w:r w:rsidRPr="00F02A2F">
              <w:rPr>
                <w:rFonts w:ascii="Rockwell" w:eastAsia="Rockwell" w:hAnsi="Rockwell" w:cs="Rockwell"/>
              </w:rPr>
              <w:t>Lack of knowledge</w:t>
            </w:r>
            <w:r w:rsidR="00DB70A8">
              <w:rPr>
                <w:rFonts w:ascii="Rockwell" w:eastAsia="Rockwell" w:hAnsi="Rockwell" w:cs="Rockwell"/>
              </w:rPr>
              <w:t>,</w:t>
            </w:r>
            <w:r w:rsidRPr="00F02A2F">
              <w:rPr>
                <w:rFonts w:ascii="Rockwell" w:eastAsia="Rockwell" w:hAnsi="Rockwell" w:cs="Rockwell"/>
              </w:rPr>
              <w:t xml:space="preserve"> </w:t>
            </w:r>
            <w:r w:rsidR="00DB70A8">
              <w:rPr>
                <w:rFonts w:ascii="Rockwell" w:eastAsia="Rockwell" w:hAnsi="Rockwell" w:cs="Rockwell"/>
              </w:rPr>
              <w:t>could cause serious harm</w:t>
            </w:r>
            <w:r w:rsidRPr="00F02A2F">
              <w:rPr>
                <w:rFonts w:ascii="Rockwell" w:eastAsia="Rockwell" w:hAnsi="Rockwell" w:cs="Rockwell"/>
              </w:rPr>
              <w:t xml:space="preserve"> </w:t>
            </w:r>
          </w:p>
        </w:tc>
      </w:tr>
    </w:tbl>
    <w:p w14:paraId="5B735D17" w14:textId="77777777" w:rsidR="00BC51F0" w:rsidRDefault="00A80AA2">
      <w:pPr>
        <w:pBdr>
          <w:top w:val="nil"/>
          <w:left w:val="nil"/>
          <w:bottom w:val="nil"/>
          <w:right w:val="nil"/>
          <w:between w:val="nil"/>
        </w:pBdr>
        <w:spacing w:line="240" w:lineRule="auto"/>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Using the Code of Ethics</w:t>
      </w:r>
    </w:p>
    <w:p w14:paraId="5D07D47C" w14:textId="23C723ED" w:rsidR="008E4DB9" w:rsidRDefault="008E4DB9">
      <w:pPr>
        <w:pBdr>
          <w:top w:val="nil"/>
          <w:left w:val="nil"/>
          <w:bottom w:val="nil"/>
          <w:right w:val="nil"/>
          <w:between w:val="nil"/>
        </w:pBdr>
        <w:spacing w:line="240" w:lineRule="auto"/>
        <w:rPr>
          <w:rFonts w:ascii="Rockwell" w:eastAsia="Rockwell" w:hAnsi="Rockwell" w:cs="Rockwell"/>
          <w:color w:val="000000"/>
        </w:rPr>
      </w:pPr>
      <w:r w:rsidRPr="008E4DB9">
        <w:rPr>
          <w:rFonts w:ascii="Rockwell" w:eastAsia="Rockwell" w:hAnsi="Rockwell" w:cs="Rockwell"/>
          <w:color w:val="000000"/>
        </w:rPr>
        <w:t xml:space="preserve">The </w:t>
      </w:r>
      <w:hyperlink r:id="rId8" w:history="1">
        <w:r w:rsidRPr="008E4DB9">
          <w:rPr>
            <w:rStyle w:val="Hyperlink"/>
            <w:rFonts w:ascii="Rockwell" w:eastAsia="Rockwell" w:hAnsi="Rockwell" w:cs="Rockwell"/>
          </w:rPr>
          <w:t>CSMLS Code of Ethics</w:t>
        </w:r>
      </w:hyperlink>
      <w:r w:rsidRPr="008E4DB9">
        <w:rPr>
          <w:rFonts w:ascii="Rockwell" w:eastAsia="Rockwell" w:hAnsi="Rockwell" w:cs="Rockwell"/>
          <w:color w:val="000000"/>
        </w:rPr>
        <w:t xml:space="preserve"> serves to define and expand the inherent ethical concepts contained in the </w:t>
      </w:r>
      <w:hyperlink r:id="rId9" w:history="1">
        <w:r w:rsidRPr="008E4DB9">
          <w:rPr>
            <w:rStyle w:val="Hyperlink"/>
            <w:rFonts w:ascii="Rockwell" w:eastAsia="Rockwell" w:hAnsi="Rockwell" w:cs="Rockwell"/>
          </w:rPr>
          <w:t>CSMLS Code of Professional Conduct</w:t>
        </w:r>
      </w:hyperlink>
      <w:r w:rsidRPr="008E4DB9">
        <w:rPr>
          <w:rFonts w:ascii="Rockwell" w:eastAsia="Rockwell" w:hAnsi="Rockwell" w:cs="Rockwell"/>
          <w:color w:val="000000"/>
        </w:rPr>
        <w:t>, document expectations of ethical behaviour for all medical laboratory professionals and provide a framework during professional and personal self-evaluation. Consider how adhering to these codes could have prevented the situation. What other codes are applicable?</w:t>
      </w:r>
    </w:p>
    <w:p w14:paraId="3898E46C"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Ethics</w:t>
      </w:r>
    </w:p>
    <w:p w14:paraId="7B49A75C" w14:textId="77777777" w:rsidR="00DB70A8" w:rsidRDefault="00DB70A8" w:rsidP="00F02A2F">
      <w:pPr>
        <w:numPr>
          <w:ilvl w:val="0"/>
          <w:numId w:val="3"/>
        </w:numPr>
        <w:pBdr>
          <w:top w:val="nil"/>
          <w:left w:val="nil"/>
          <w:bottom w:val="nil"/>
          <w:right w:val="nil"/>
          <w:between w:val="nil"/>
        </w:pBdr>
        <w:spacing w:after="0"/>
        <w:rPr>
          <w:rFonts w:ascii="Rockwell" w:eastAsia="Rockwell" w:hAnsi="Rockwell" w:cs="Rockwell"/>
        </w:rPr>
      </w:pPr>
      <w:r w:rsidRPr="00DB70A8">
        <w:rPr>
          <w:rFonts w:ascii="Rockwell" w:eastAsia="Rockwell" w:hAnsi="Rockwell" w:cs="Rockwell"/>
        </w:rPr>
        <w:t>1.1   Practise only those disciplines within the medical laboratory profession for which CSMLS certification has been achieved.</w:t>
      </w:r>
    </w:p>
    <w:p w14:paraId="140DC00A" w14:textId="77777777" w:rsidR="00DB70A8" w:rsidRDefault="00DB70A8" w:rsidP="00F02A2F">
      <w:pPr>
        <w:numPr>
          <w:ilvl w:val="0"/>
          <w:numId w:val="3"/>
        </w:numPr>
        <w:pBdr>
          <w:top w:val="nil"/>
          <w:left w:val="nil"/>
          <w:bottom w:val="nil"/>
          <w:right w:val="nil"/>
          <w:between w:val="nil"/>
        </w:pBdr>
        <w:spacing w:after="0"/>
        <w:rPr>
          <w:rFonts w:ascii="Rockwell" w:eastAsia="Rockwell" w:hAnsi="Rockwell" w:cs="Rockwell"/>
        </w:rPr>
      </w:pPr>
      <w:r w:rsidRPr="00DB70A8">
        <w:rPr>
          <w:rFonts w:ascii="Rockwell" w:eastAsia="Rockwell" w:hAnsi="Rockwell" w:cs="Rockwell"/>
        </w:rPr>
        <w:t>1.2   Practise only those procedures for which qualification has been achieved or officially delegated by an appropriate institutional authority, where the member has the current requisite knowledge, skills and judgment to ensure and demonstrate competence.</w:t>
      </w:r>
    </w:p>
    <w:p w14:paraId="45F4C230" w14:textId="77777777" w:rsidR="00DB70A8" w:rsidRDefault="00DB70A8" w:rsidP="00F02A2F">
      <w:pPr>
        <w:numPr>
          <w:ilvl w:val="0"/>
          <w:numId w:val="3"/>
        </w:numPr>
        <w:pBdr>
          <w:top w:val="nil"/>
          <w:left w:val="nil"/>
          <w:bottom w:val="nil"/>
          <w:right w:val="nil"/>
          <w:between w:val="nil"/>
        </w:pBdr>
        <w:rPr>
          <w:rFonts w:ascii="Rockwell" w:eastAsia="Rockwell" w:hAnsi="Rockwell" w:cs="Rockwell"/>
        </w:rPr>
      </w:pPr>
      <w:r w:rsidRPr="00DB70A8">
        <w:rPr>
          <w:rFonts w:ascii="Rockwell" w:eastAsia="Rockwell" w:hAnsi="Rockwell" w:cs="Rockwell"/>
        </w:rPr>
        <w:t>1.3   Recognize risk prone situations in order to minimize harm to patients, staff and self.</w:t>
      </w:r>
    </w:p>
    <w:p w14:paraId="1A7CB6F1" w14:textId="77777777" w:rsidR="00BC51F0" w:rsidRPr="00F02A2F" w:rsidRDefault="00A80AA2">
      <w:pPr>
        <w:spacing w:after="0"/>
        <w:rPr>
          <w:rFonts w:ascii="Rockwell" w:eastAsia="Rockwell" w:hAnsi="Rockwell" w:cs="Rockwell"/>
          <w:i/>
        </w:rPr>
      </w:pPr>
      <w:r w:rsidRPr="00F02A2F">
        <w:rPr>
          <w:rFonts w:ascii="Rockwell" w:eastAsia="Rockwell" w:hAnsi="Rockwell" w:cs="Rockwell"/>
          <w:i/>
        </w:rPr>
        <w:t>Code of Professional Conduct</w:t>
      </w:r>
    </w:p>
    <w:p w14:paraId="60428F29" w14:textId="77777777" w:rsidR="00DB70A8" w:rsidRDefault="00DB70A8"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DB70A8">
        <w:rPr>
          <w:rFonts w:ascii="Rockwell" w:eastAsia="Rockwell" w:hAnsi="Rockwell" w:cs="Rockwell"/>
        </w:rPr>
        <w:t>Medical laboratory professionals shall practise within the scope of their professional competence.</w:t>
      </w:r>
    </w:p>
    <w:p w14:paraId="451AFC95" w14:textId="55C42169" w:rsidR="001C6F1A" w:rsidRPr="00DB70A8" w:rsidRDefault="00DB70A8" w:rsidP="001C6F1A">
      <w:pPr>
        <w:numPr>
          <w:ilvl w:val="0"/>
          <w:numId w:val="4"/>
        </w:numPr>
        <w:pBdr>
          <w:top w:val="nil"/>
          <w:left w:val="nil"/>
          <w:bottom w:val="nil"/>
          <w:right w:val="nil"/>
          <w:between w:val="nil"/>
        </w:pBdr>
        <w:spacing w:after="0" w:line="240" w:lineRule="auto"/>
        <w:rPr>
          <w:rFonts w:ascii="Rockwell" w:eastAsia="Rockwell" w:hAnsi="Rockwell" w:cs="Rockwell"/>
        </w:rPr>
      </w:pPr>
      <w:r w:rsidRPr="00DB70A8">
        <w:rPr>
          <w:rFonts w:ascii="Rockwell" w:eastAsia="Rockwell" w:hAnsi="Rockwell" w:cs="Rockwell"/>
        </w:rPr>
        <w:t>Medical laboratory professionals shall be aware o</w:t>
      </w:r>
      <w:bookmarkStart w:id="0" w:name="_GoBack"/>
      <w:bookmarkEnd w:id="0"/>
      <w:r w:rsidRPr="00DB70A8">
        <w:rPr>
          <w:rFonts w:ascii="Rockwell" w:eastAsia="Rockwell" w:hAnsi="Rockwell" w:cs="Rockwell"/>
        </w:rPr>
        <w:t>f the laws and regulations governing medical laboratory technology and shall apply them in the practise of their profession.</w:t>
      </w:r>
    </w:p>
    <w:p w14:paraId="770E63D1" w14:textId="77777777" w:rsidR="00DB70A8" w:rsidRPr="006E2222" w:rsidRDefault="00DB70A8" w:rsidP="001C6F1A">
      <w:pPr>
        <w:pBdr>
          <w:top w:val="nil"/>
          <w:left w:val="nil"/>
          <w:bottom w:val="nil"/>
          <w:right w:val="nil"/>
          <w:between w:val="nil"/>
        </w:pBdr>
        <w:spacing w:after="0" w:line="240" w:lineRule="auto"/>
        <w:rPr>
          <w:rFonts w:ascii="Century Gothic" w:eastAsia="Century Gothic" w:hAnsi="Century Gothic" w:cs="Century Gothic"/>
          <w:b/>
          <w:color w:val="000000"/>
          <w:sz w:val="16"/>
          <w:szCs w:val="16"/>
        </w:rPr>
      </w:pPr>
    </w:p>
    <w:p w14:paraId="0A149E89" w14:textId="588017B9" w:rsidR="00BC51F0" w:rsidRPr="001C6F1A" w:rsidRDefault="00A80AA2" w:rsidP="006E2222">
      <w:pPr>
        <w:pBdr>
          <w:top w:val="nil"/>
          <w:left w:val="nil"/>
          <w:bottom w:val="nil"/>
          <w:right w:val="nil"/>
          <w:between w:val="nil"/>
        </w:pBdr>
        <w:spacing w:after="0" w:line="240" w:lineRule="auto"/>
        <w:rPr>
          <w:rFonts w:ascii="Century Gothic" w:eastAsia="Century Gothic" w:hAnsi="Century Gothic" w:cs="Century Gothic"/>
          <w:b/>
          <w:color w:val="000000"/>
          <w:sz w:val="20"/>
          <w:szCs w:val="20"/>
        </w:rPr>
      </w:pPr>
      <w:r w:rsidRPr="001C6F1A">
        <w:rPr>
          <w:rFonts w:ascii="Century Gothic" w:eastAsia="Century Gothic" w:hAnsi="Century Gothic" w:cs="Century Gothic"/>
          <w:b/>
          <w:color w:val="000000"/>
          <w:sz w:val="20"/>
          <w:szCs w:val="20"/>
        </w:rPr>
        <w:t xml:space="preserve">Relevant </w:t>
      </w:r>
      <w:r w:rsidR="00F02A2F" w:rsidRPr="001C6F1A">
        <w:rPr>
          <w:rFonts w:ascii="Century Gothic" w:eastAsia="Century Gothic" w:hAnsi="Century Gothic" w:cs="Century Gothic"/>
          <w:b/>
          <w:color w:val="000000"/>
          <w:sz w:val="20"/>
          <w:szCs w:val="20"/>
        </w:rPr>
        <w:t>Articles</w:t>
      </w:r>
    </w:p>
    <w:p w14:paraId="4AB2A098" w14:textId="77777777" w:rsidR="001C6F1A" w:rsidRDefault="001C6F1A" w:rsidP="001C6F1A">
      <w:pPr>
        <w:pStyle w:val="Heading1"/>
        <w:spacing w:before="0" w:line="240" w:lineRule="auto"/>
        <w:textAlignment w:val="baseline"/>
        <w:rPr>
          <w:rFonts w:ascii="Rockwell" w:hAnsi="Rockwell" w:cs="Arial"/>
          <w:color w:val="252525"/>
          <w:sz w:val="22"/>
          <w:szCs w:val="22"/>
        </w:rPr>
        <w:sectPr w:rsidR="001C6F1A">
          <w:headerReference w:type="default" r:id="rId10"/>
          <w:footerReference w:type="default" r:id="rId11"/>
          <w:pgSz w:w="12240" w:h="15840"/>
          <w:pgMar w:top="1080" w:right="1440" w:bottom="1440" w:left="1440" w:header="720" w:footer="420" w:gutter="0"/>
          <w:pgNumType w:start="1"/>
          <w:cols w:space="720"/>
        </w:sectPr>
      </w:pPr>
      <w:bookmarkStart w:id="1" w:name="_p1z3ubrt5gzc" w:colFirst="0" w:colLast="0"/>
      <w:bookmarkEnd w:id="1"/>
    </w:p>
    <w:p w14:paraId="0A7BE5AE" w14:textId="73B8EDB6" w:rsidR="00F02A2F" w:rsidRDefault="00DB70A8" w:rsidP="00DB70A8">
      <w:pPr>
        <w:spacing w:after="0"/>
        <w:rPr>
          <w:rFonts w:ascii="Rockwell" w:hAnsi="Rockwell"/>
        </w:rPr>
      </w:pPr>
      <w:hyperlink r:id="rId12" w:history="1">
        <w:r w:rsidRPr="00DB70A8">
          <w:rPr>
            <w:rStyle w:val="Hyperlink"/>
            <w:rFonts w:ascii="Rockwell" w:hAnsi="Rockwell"/>
          </w:rPr>
          <w:t>Selma hospital, doctors to pay $1.5M to settle whistleblower lawsuit</w:t>
        </w:r>
      </w:hyperlink>
    </w:p>
    <w:p w14:paraId="18844E77" w14:textId="4BD6DD2E" w:rsidR="00DB70A8" w:rsidRDefault="00DB70A8" w:rsidP="00DB70A8">
      <w:pPr>
        <w:spacing w:after="0"/>
        <w:rPr>
          <w:rFonts w:ascii="Rockwell" w:hAnsi="Rockwell"/>
        </w:rPr>
      </w:pPr>
      <w:hyperlink r:id="rId13" w:history="1">
        <w:r w:rsidRPr="00DB70A8">
          <w:rPr>
            <w:rStyle w:val="Hyperlink"/>
            <w:rFonts w:ascii="Rockwell" w:hAnsi="Rockwell"/>
          </w:rPr>
          <w:t>Horizon Health, nurse deny wrongdoing in alleged misuse of labour-inducing drug</w:t>
        </w:r>
      </w:hyperlink>
    </w:p>
    <w:p w14:paraId="0CF00E26" w14:textId="278B94CA" w:rsidR="00DB70A8" w:rsidRPr="00DB70A8" w:rsidRDefault="00DB70A8" w:rsidP="00DB70A8">
      <w:pPr>
        <w:spacing w:after="0"/>
        <w:rPr>
          <w:rFonts w:ascii="Rockwell" w:hAnsi="Rockwell"/>
        </w:rPr>
      </w:pPr>
      <w:hyperlink r:id="rId14" w:history="1">
        <w:r w:rsidRPr="00DB70A8">
          <w:rPr>
            <w:rStyle w:val="Hyperlink"/>
            <w:rFonts w:ascii="Rockwell" w:hAnsi="Rockwell"/>
          </w:rPr>
          <w:t>Ontario may let pharmacists prescribe treatments for minor issues like pink eye</w:t>
        </w:r>
      </w:hyperlink>
    </w:p>
    <w:sectPr w:rsidR="00DB70A8" w:rsidRPr="00DB70A8" w:rsidSect="001C6F1A">
      <w:type w:val="continuous"/>
      <w:pgSz w:w="12240" w:h="15840"/>
      <w:pgMar w:top="1080" w:right="1440" w:bottom="1440" w:left="144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024A" w14:textId="77777777" w:rsidR="000A2B88" w:rsidRDefault="000A2B88">
      <w:pPr>
        <w:spacing w:after="0" w:line="240" w:lineRule="auto"/>
      </w:pPr>
      <w:r>
        <w:separator/>
      </w:r>
    </w:p>
  </w:endnote>
  <w:endnote w:type="continuationSeparator" w:id="0">
    <w:p w14:paraId="2944C416" w14:textId="77777777" w:rsidR="000A2B88" w:rsidRDefault="000A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25F1" w14:textId="77777777" w:rsidR="00BC51F0" w:rsidRDefault="00A80AA2">
    <w:pPr>
      <w:jc w:val="center"/>
      <w:rPr>
        <w:rFonts w:ascii="Rockwell" w:eastAsia="Rockwell" w:hAnsi="Rockwell" w:cs="Rockwell"/>
        <w:sz w:val="18"/>
        <w:szCs w:val="18"/>
      </w:rPr>
    </w:pPr>
    <w:r>
      <w:rPr>
        <w:rFonts w:ascii="Rockwell" w:eastAsia="Rockwell" w:hAnsi="Rockwell" w:cs="Rockwell"/>
        <w:sz w:val="18"/>
        <w:szCs w:val="18"/>
      </w:rPr>
      <w:t xml:space="preserve">Take the </w:t>
    </w:r>
    <w:hyperlink r:id="rId1">
      <w:r>
        <w:rPr>
          <w:rFonts w:ascii="Rockwell" w:eastAsia="Rockwell" w:hAnsi="Rockwell" w:cs="Rockwell"/>
          <w:color w:val="0000FF"/>
          <w:sz w:val="18"/>
          <w:szCs w:val="18"/>
          <w:u w:val="single"/>
        </w:rPr>
        <w:t>free CSMLS Code of Ethics course</w:t>
      </w:r>
    </w:hyperlink>
    <w:r>
      <w:rPr>
        <w:rFonts w:ascii="Rockwell" w:eastAsia="Rockwell" w:hAnsi="Rockwell" w:cs="Rockwell"/>
        <w:sz w:val="18"/>
        <w:szCs w:val="18"/>
      </w:rPr>
      <w:t xml:space="preserve"> today!</w:t>
    </w:r>
  </w:p>
  <w:p w14:paraId="1AE55D27" w14:textId="77777777" w:rsidR="00BC51F0" w:rsidRDefault="00BC51F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8719" w14:textId="77777777" w:rsidR="000A2B88" w:rsidRDefault="000A2B88">
      <w:pPr>
        <w:spacing w:after="0" w:line="240" w:lineRule="auto"/>
      </w:pPr>
      <w:r>
        <w:separator/>
      </w:r>
    </w:p>
  </w:footnote>
  <w:footnote w:type="continuationSeparator" w:id="0">
    <w:p w14:paraId="6F2801C4" w14:textId="77777777" w:rsidR="000A2B88" w:rsidRDefault="000A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C859" w14:textId="77777777" w:rsidR="00BC51F0" w:rsidRDefault="00A80AA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1EB6736" wp14:editId="1EE372DD">
          <wp:extent cx="2553093" cy="7159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6AE8"/>
    <w:multiLevelType w:val="multilevel"/>
    <w:tmpl w:val="0EA413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4440CE"/>
    <w:multiLevelType w:val="multilevel"/>
    <w:tmpl w:val="E60A8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A6298D"/>
    <w:multiLevelType w:val="multilevel"/>
    <w:tmpl w:val="9E049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E72F19"/>
    <w:multiLevelType w:val="multilevel"/>
    <w:tmpl w:val="0EA41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983B78"/>
    <w:multiLevelType w:val="multilevel"/>
    <w:tmpl w:val="76480E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NDI3NjMwNzUxtzRR0lEKTi0uzszPAykwrQUA5Pz0jCwAAAA="/>
  </w:docVars>
  <w:rsids>
    <w:rsidRoot w:val="00BC51F0"/>
    <w:rsid w:val="00090237"/>
    <w:rsid w:val="000A2B88"/>
    <w:rsid w:val="000A7904"/>
    <w:rsid w:val="001332AB"/>
    <w:rsid w:val="001C6F1A"/>
    <w:rsid w:val="001F265A"/>
    <w:rsid w:val="00693AB0"/>
    <w:rsid w:val="006E2222"/>
    <w:rsid w:val="007819B5"/>
    <w:rsid w:val="00785195"/>
    <w:rsid w:val="00795D83"/>
    <w:rsid w:val="007E7280"/>
    <w:rsid w:val="008E4DB9"/>
    <w:rsid w:val="009B267D"/>
    <w:rsid w:val="009B2AAB"/>
    <w:rsid w:val="00A80AA2"/>
    <w:rsid w:val="00BC51F0"/>
    <w:rsid w:val="00C829E9"/>
    <w:rsid w:val="00DB70A8"/>
    <w:rsid w:val="00F02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30D"/>
  <w15:docId w15:val="{E22D77BB-562F-4CDB-9F24-A82003B2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F02A2F"/>
    <w:rPr>
      <w:color w:val="0000FF" w:themeColor="hyperlink"/>
      <w:u w:val="single"/>
    </w:rPr>
  </w:style>
  <w:style w:type="character" w:styleId="UnresolvedMention">
    <w:name w:val="Unresolved Mention"/>
    <w:basedOn w:val="DefaultParagraphFont"/>
    <w:uiPriority w:val="99"/>
    <w:semiHidden/>
    <w:unhideWhenUsed/>
    <w:rsid w:val="00F02A2F"/>
    <w:rPr>
      <w:color w:val="605E5C"/>
      <w:shd w:val="clear" w:color="auto" w:fill="E1DFDD"/>
    </w:rPr>
  </w:style>
  <w:style w:type="paragraph" w:styleId="ListParagraph">
    <w:name w:val="List Paragraph"/>
    <w:basedOn w:val="Normal"/>
    <w:uiPriority w:val="34"/>
    <w:qFormat/>
    <w:rsid w:val="001C6F1A"/>
    <w:pPr>
      <w:ind w:left="720"/>
      <w:contextualSpacing/>
    </w:pPr>
  </w:style>
  <w:style w:type="character" w:styleId="FollowedHyperlink">
    <w:name w:val="FollowedHyperlink"/>
    <w:basedOn w:val="DefaultParagraphFont"/>
    <w:uiPriority w:val="99"/>
    <w:semiHidden/>
    <w:unhideWhenUsed/>
    <w:rsid w:val="006E2222"/>
    <w:rPr>
      <w:color w:val="800080" w:themeColor="followedHyperlink"/>
      <w:u w:val="single"/>
    </w:rPr>
  </w:style>
  <w:style w:type="paragraph" w:styleId="BalloonText">
    <w:name w:val="Balloon Text"/>
    <w:basedOn w:val="Normal"/>
    <w:link w:val="BalloonTextChar"/>
    <w:uiPriority w:val="99"/>
    <w:semiHidden/>
    <w:unhideWhenUsed/>
    <w:rsid w:val="00DB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4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mls.org/About-Us/Our-Members/Code-of-Ethics.aspx" TargetMode="External"/><Relationship Id="rId13" Type="http://schemas.openxmlformats.org/officeDocument/2006/relationships/hyperlink" Target="https://www.cbc.ca/news/canada/new-brunswick/moncton-hospital-nurse-oxytocin-nicole-ruest-class-action-lawsuit-1.5161462" TargetMode="External"/><Relationship Id="rId3" Type="http://schemas.openxmlformats.org/officeDocument/2006/relationships/settings" Target="settings.xml"/><Relationship Id="rId7" Type="http://schemas.openxmlformats.org/officeDocument/2006/relationships/hyperlink" Target="https://www.boston.com/news/crime/2019/07/26/north-andover-woman-illegal-butt-injections" TargetMode="External"/><Relationship Id="rId12" Type="http://schemas.openxmlformats.org/officeDocument/2006/relationships/hyperlink" Target="https://www.wsfa.com/2019/09/19/selma-hospital-doctors-pay-m-settle-whistleblower-laws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smls.org/About-Us/Our-Members/Code-of-Conduct.aspx" TargetMode="External"/><Relationship Id="rId14" Type="http://schemas.openxmlformats.org/officeDocument/2006/relationships/hyperlink" Target="https://www.cbc.ca/news/canada/toronto/pharmacists-prescribing-treatments-1.510343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dc:creator>
  <cp:lastModifiedBy>Laura Zychla</cp:lastModifiedBy>
  <cp:revision>2</cp:revision>
  <dcterms:created xsi:type="dcterms:W3CDTF">2019-09-22T13:52:00Z</dcterms:created>
  <dcterms:modified xsi:type="dcterms:W3CDTF">2019-09-22T13:52:00Z</dcterms:modified>
</cp:coreProperties>
</file>