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5AD2F" w14:textId="77777777" w:rsidR="00BC51F0" w:rsidRDefault="00BC51F0">
      <w:pPr>
        <w:jc w:val="center"/>
      </w:pPr>
    </w:p>
    <w:p w14:paraId="17A1DE36" w14:textId="362CF110" w:rsidR="00BC51F0" w:rsidRDefault="00A80AA2">
      <w:pPr>
        <w:pBdr>
          <w:top w:val="nil"/>
          <w:left w:val="nil"/>
          <w:bottom w:val="nil"/>
          <w:right w:val="nil"/>
          <w:between w:val="nil"/>
        </w:pBdr>
        <w:spacing w:line="240" w:lineRule="auto"/>
        <w:rPr>
          <w:rFonts w:ascii="Century Gothic" w:eastAsia="Century Gothic" w:hAnsi="Century Gothic" w:cs="Century Gothic"/>
          <w:color w:val="0078AE"/>
          <w:sz w:val="32"/>
          <w:szCs w:val="32"/>
        </w:rPr>
      </w:pPr>
      <w:r>
        <w:rPr>
          <w:rFonts w:ascii="Century Gothic" w:eastAsia="Century Gothic" w:hAnsi="Century Gothic" w:cs="Century Gothic"/>
          <w:color w:val="0078AE"/>
          <w:sz w:val="32"/>
          <w:szCs w:val="32"/>
        </w:rPr>
        <w:t>Ethics on Demand –</w:t>
      </w:r>
      <w:r w:rsidR="001C6F1A">
        <w:rPr>
          <w:rFonts w:ascii="Century Gothic" w:eastAsia="Century Gothic" w:hAnsi="Century Gothic" w:cs="Century Gothic"/>
          <w:color w:val="0078AE"/>
          <w:sz w:val="32"/>
          <w:szCs w:val="32"/>
        </w:rPr>
        <w:t xml:space="preserve"> Hiding </w:t>
      </w:r>
      <w:r>
        <w:rPr>
          <w:rFonts w:ascii="Century Gothic" w:eastAsia="Century Gothic" w:hAnsi="Century Gothic" w:cs="Century Gothic"/>
          <w:color w:val="0078AE"/>
          <w:sz w:val="32"/>
          <w:szCs w:val="32"/>
        </w:rPr>
        <w:t>Error</w:t>
      </w:r>
      <w:r w:rsidR="00F02A2F">
        <w:rPr>
          <w:rFonts w:ascii="Century Gothic" w:eastAsia="Century Gothic" w:hAnsi="Century Gothic" w:cs="Century Gothic"/>
          <w:color w:val="0078AE"/>
          <w:sz w:val="32"/>
          <w:szCs w:val="32"/>
        </w:rPr>
        <w:t>s</w:t>
      </w:r>
    </w:p>
    <w:p w14:paraId="3C9B60CD" w14:textId="77777777" w:rsidR="00F02A2F" w:rsidRPr="00F02A2F" w:rsidRDefault="00F02A2F">
      <w:pPr>
        <w:pBdr>
          <w:top w:val="nil"/>
          <w:left w:val="nil"/>
          <w:bottom w:val="nil"/>
          <w:right w:val="nil"/>
          <w:between w:val="nil"/>
        </w:pBdr>
        <w:spacing w:line="240" w:lineRule="auto"/>
        <w:rPr>
          <w:rFonts w:ascii="Century Gothic" w:eastAsia="Century Gothic" w:hAnsi="Century Gothic" w:cs="Century Gothic"/>
          <w:color w:val="0078AE"/>
          <w:sz w:val="10"/>
          <w:szCs w:val="10"/>
        </w:rPr>
      </w:pPr>
    </w:p>
    <w:p w14:paraId="37D673F1" w14:textId="77777777" w:rsidR="00BC51F0" w:rsidRPr="001C6F1A" w:rsidRDefault="00A80AA2">
      <w:pPr>
        <w:pBdr>
          <w:top w:val="nil"/>
          <w:left w:val="nil"/>
          <w:bottom w:val="nil"/>
          <w:right w:val="nil"/>
          <w:between w:val="nil"/>
        </w:pBdr>
        <w:spacing w:line="240" w:lineRule="auto"/>
        <w:rPr>
          <w:rFonts w:ascii="Century Gothic" w:eastAsia="Rockwell" w:hAnsi="Century Gothic" w:cstheme="majorHAnsi"/>
          <w:b/>
          <w:sz w:val="20"/>
          <w:szCs w:val="20"/>
        </w:rPr>
      </w:pPr>
      <w:r w:rsidRPr="001C6F1A">
        <w:rPr>
          <w:rFonts w:ascii="Century Gothic" w:eastAsia="Century Gothic" w:hAnsi="Century Gothic" w:cstheme="majorHAnsi"/>
          <w:b/>
          <w:color w:val="000000"/>
          <w:sz w:val="20"/>
          <w:szCs w:val="20"/>
        </w:rPr>
        <w:t xml:space="preserve">Article: </w:t>
      </w:r>
      <w:hyperlink r:id="rId7">
        <w:r w:rsidRPr="001C6F1A">
          <w:rPr>
            <w:rFonts w:ascii="Century Gothic" w:eastAsia="Rockwell" w:hAnsi="Century Gothic" w:cstheme="majorHAnsi"/>
            <w:b/>
            <w:color w:val="1155CC"/>
            <w:sz w:val="20"/>
            <w:szCs w:val="20"/>
            <w:u w:val="single"/>
          </w:rPr>
          <w:t>Five suspended for wrong blood transfusion in Andhra Pradesh</w:t>
        </w:r>
      </w:hyperlink>
    </w:p>
    <w:p w14:paraId="392AB27A" w14:textId="77777777" w:rsidR="00BC51F0" w:rsidRPr="00F02A2F" w:rsidRDefault="00A80AA2">
      <w:pPr>
        <w:pBdr>
          <w:top w:val="nil"/>
          <w:left w:val="nil"/>
          <w:bottom w:val="nil"/>
          <w:right w:val="nil"/>
          <w:between w:val="nil"/>
        </w:pBdr>
        <w:spacing w:line="240" w:lineRule="auto"/>
        <w:rPr>
          <w:rFonts w:ascii="Century Gothic" w:eastAsia="Century Gothic" w:hAnsi="Century Gothic" w:cs="Century Gothic"/>
          <w:b/>
          <w:color w:val="000000"/>
          <w:sz w:val="20"/>
          <w:szCs w:val="20"/>
        </w:rPr>
      </w:pPr>
      <w:r w:rsidRPr="00F02A2F">
        <w:rPr>
          <w:rFonts w:ascii="Century Gothic" w:eastAsia="Century Gothic" w:hAnsi="Century Gothic" w:cs="Century Gothic"/>
          <w:b/>
          <w:color w:val="000000"/>
          <w:sz w:val="20"/>
          <w:szCs w:val="20"/>
        </w:rPr>
        <w:t>What was the situation?</w:t>
      </w:r>
    </w:p>
    <w:p w14:paraId="360DC890" w14:textId="6B66A170" w:rsidR="00BC51F0" w:rsidRDefault="00A80AA2">
      <w:pPr>
        <w:rPr>
          <w:rFonts w:ascii="Rockwell" w:eastAsia="Rockwell" w:hAnsi="Rockwell" w:cs="Rockwell"/>
        </w:rPr>
      </w:pPr>
      <w:r>
        <w:rPr>
          <w:rFonts w:ascii="Rockwell" w:eastAsia="Rockwell" w:hAnsi="Rockwell" w:cs="Rockwell"/>
        </w:rPr>
        <w:t xml:space="preserve">A 32-year-old new mother died at a hospital in India on June 26, 2019. The woman was given the wrong blood group during a transfusion </w:t>
      </w:r>
      <w:r w:rsidR="00F02A2F">
        <w:rPr>
          <w:rFonts w:ascii="Rockwell" w:eastAsia="Rockwell" w:hAnsi="Rockwell" w:cs="Rockwell"/>
        </w:rPr>
        <w:t xml:space="preserve">(B positive </w:t>
      </w:r>
      <w:r>
        <w:rPr>
          <w:rFonts w:ascii="Rockwell" w:eastAsia="Rockwell" w:hAnsi="Rockwell" w:cs="Rockwell"/>
        </w:rPr>
        <w:t>instead of O blood</w:t>
      </w:r>
      <w:r w:rsidR="00F02A2F">
        <w:rPr>
          <w:rFonts w:ascii="Rockwell" w:eastAsia="Rockwell" w:hAnsi="Rockwell" w:cs="Rockwell"/>
        </w:rPr>
        <w:t>)</w:t>
      </w:r>
      <w:r>
        <w:t xml:space="preserve">. </w:t>
      </w:r>
      <w:r>
        <w:rPr>
          <w:rFonts w:ascii="Rockwell" w:eastAsia="Rockwell" w:hAnsi="Rockwell" w:cs="Rockwell"/>
        </w:rPr>
        <w:t>During the inquiry, the family was misled by the hospital staff, who stressed that the patient’s blood was B positive. It was found that staff manipulated records</w:t>
      </w:r>
      <w:r w:rsidR="00F02A2F">
        <w:rPr>
          <w:rFonts w:ascii="Rockwell" w:eastAsia="Rockwell" w:hAnsi="Rockwell" w:cs="Rockwell"/>
        </w:rPr>
        <w:t xml:space="preserve"> to hide the mistake</w:t>
      </w:r>
      <w:r>
        <w:rPr>
          <w:rFonts w:ascii="Rockwell" w:eastAsia="Rockwell" w:hAnsi="Rockwell" w:cs="Rockwell"/>
        </w:rPr>
        <w:t xml:space="preserve">, including </w:t>
      </w:r>
      <w:r w:rsidR="00F02A2F">
        <w:rPr>
          <w:rFonts w:ascii="Rockwell" w:eastAsia="Rockwell" w:hAnsi="Rockwell" w:cs="Rockwell"/>
        </w:rPr>
        <w:t xml:space="preserve">changing </w:t>
      </w:r>
      <w:r>
        <w:rPr>
          <w:rFonts w:ascii="Rockwell" w:eastAsia="Rockwell" w:hAnsi="Rockwell" w:cs="Rockwell"/>
        </w:rPr>
        <w:t xml:space="preserve">case sheets and even blood samples to </w:t>
      </w:r>
      <w:r w:rsidR="00F02A2F">
        <w:rPr>
          <w:rFonts w:ascii="Rockwell" w:eastAsia="Rockwell" w:hAnsi="Rockwell" w:cs="Rockwell"/>
        </w:rPr>
        <w:t>fabricate evidence.</w:t>
      </w:r>
    </w:p>
    <w:p w14:paraId="49D418C6" w14:textId="77777777" w:rsidR="00BC51F0" w:rsidRDefault="00A80AA2">
      <w:pPr>
        <w:pBdr>
          <w:top w:val="nil"/>
          <w:left w:val="nil"/>
          <w:bottom w:val="nil"/>
          <w:right w:val="nil"/>
          <w:between w:val="nil"/>
        </w:pBdr>
        <w:spacing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What went wrong?</w: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BC51F0" w14:paraId="74432435" w14:textId="77777777">
        <w:tc>
          <w:tcPr>
            <w:tcW w:w="3116" w:type="dxa"/>
          </w:tcPr>
          <w:p w14:paraId="68C74350" w14:textId="09835F68" w:rsidR="00BC51F0" w:rsidRPr="00F02A2F" w:rsidRDefault="00A80AA2">
            <w:pPr>
              <w:jc w:val="center"/>
              <w:rPr>
                <w:rFonts w:ascii="Rockwell" w:eastAsia="Rockwell" w:hAnsi="Rockwell" w:cs="Rockwell"/>
              </w:rPr>
            </w:pPr>
            <w:r w:rsidRPr="00F02A2F">
              <w:rPr>
                <w:rFonts w:ascii="Rockwell" w:eastAsia="Rockwell" w:hAnsi="Rockwell" w:cs="Rockwell"/>
              </w:rPr>
              <w:t>Lack of morality</w:t>
            </w:r>
            <w:r w:rsidR="00F02A2F">
              <w:rPr>
                <w:rFonts w:ascii="Rockwell" w:eastAsia="Rockwell" w:hAnsi="Rockwell" w:cs="Rockwell"/>
              </w:rPr>
              <w:t xml:space="preserve"> and integrity</w:t>
            </w:r>
          </w:p>
          <w:p w14:paraId="3F6E36AB" w14:textId="77777777" w:rsidR="00BC51F0" w:rsidRPr="00F02A2F" w:rsidRDefault="00BC51F0">
            <w:pPr>
              <w:jc w:val="center"/>
              <w:rPr>
                <w:rFonts w:ascii="Rockwell" w:eastAsia="Rockwell" w:hAnsi="Rockwell" w:cs="Rockwell"/>
              </w:rPr>
            </w:pPr>
          </w:p>
        </w:tc>
        <w:tc>
          <w:tcPr>
            <w:tcW w:w="3117" w:type="dxa"/>
          </w:tcPr>
          <w:p w14:paraId="23C18774" w14:textId="1C1BAF03" w:rsidR="00BC51F0" w:rsidRPr="00F02A2F" w:rsidRDefault="00A80AA2" w:rsidP="00F02A2F">
            <w:pPr>
              <w:spacing w:after="100"/>
              <w:jc w:val="center"/>
              <w:rPr>
                <w:rFonts w:ascii="Rockwell" w:eastAsia="Rockwell" w:hAnsi="Rockwell" w:cs="Rockwell"/>
              </w:rPr>
            </w:pPr>
            <w:r w:rsidRPr="00F02A2F">
              <w:rPr>
                <w:rFonts w:ascii="Rockwell" w:eastAsia="Rockwell" w:hAnsi="Rockwell" w:cs="Rockwell"/>
              </w:rPr>
              <w:t>Lack of professional responsibility</w:t>
            </w:r>
            <w:r w:rsidR="00F02A2F">
              <w:rPr>
                <w:rFonts w:ascii="Rockwell" w:eastAsia="Rockwell" w:hAnsi="Rockwell" w:cs="Rockwell"/>
              </w:rPr>
              <w:t xml:space="preserve"> for actions</w:t>
            </w:r>
          </w:p>
        </w:tc>
        <w:tc>
          <w:tcPr>
            <w:tcW w:w="3117" w:type="dxa"/>
          </w:tcPr>
          <w:p w14:paraId="1DA23E77" w14:textId="442A45C2" w:rsidR="00BC51F0" w:rsidRPr="00F02A2F" w:rsidRDefault="00F02A2F">
            <w:pPr>
              <w:jc w:val="center"/>
              <w:rPr>
                <w:rFonts w:ascii="Rockwell" w:eastAsia="Rockwell" w:hAnsi="Rockwell" w:cs="Rockwell"/>
              </w:rPr>
            </w:pPr>
            <w:r w:rsidRPr="00F02A2F">
              <w:rPr>
                <w:rFonts w:ascii="Rockwell" w:eastAsia="Rockwell" w:hAnsi="Rockwell" w:cs="Rockwell"/>
              </w:rPr>
              <w:t xml:space="preserve">Lack of skill/knowledge causing death </w:t>
            </w:r>
          </w:p>
        </w:tc>
      </w:tr>
    </w:tbl>
    <w:p w14:paraId="5B735D17" w14:textId="77777777" w:rsidR="00BC51F0" w:rsidRDefault="00A80AA2">
      <w:pPr>
        <w:pBdr>
          <w:top w:val="nil"/>
          <w:left w:val="nil"/>
          <w:bottom w:val="nil"/>
          <w:right w:val="nil"/>
          <w:between w:val="nil"/>
        </w:pBdr>
        <w:spacing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Using the Code of Ethics</w:t>
      </w:r>
    </w:p>
    <w:p w14:paraId="5D07D47C" w14:textId="23C723ED" w:rsidR="008E4DB9" w:rsidRDefault="008E4DB9">
      <w:pPr>
        <w:pBdr>
          <w:top w:val="nil"/>
          <w:left w:val="nil"/>
          <w:bottom w:val="nil"/>
          <w:right w:val="nil"/>
          <w:between w:val="nil"/>
        </w:pBdr>
        <w:spacing w:line="240" w:lineRule="auto"/>
        <w:rPr>
          <w:rFonts w:ascii="Rockwell" w:eastAsia="Rockwell" w:hAnsi="Rockwell" w:cs="Rockwell"/>
          <w:color w:val="000000"/>
        </w:rPr>
      </w:pPr>
      <w:r w:rsidRPr="008E4DB9">
        <w:rPr>
          <w:rFonts w:ascii="Rockwell" w:eastAsia="Rockwell" w:hAnsi="Rockwell" w:cs="Rockwell"/>
          <w:color w:val="000000"/>
        </w:rPr>
        <w:t xml:space="preserve">The </w:t>
      </w:r>
      <w:hyperlink r:id="rId8" w:history="1">
        <w:r w:rsidRPr="008E4DB9">
          <w:rPr>
            <w:rStyle w:val="Hyperlink"/>
            <w:rFonts w:ascii="Rockwell" w:eastAsia="Rockwell" w:hAnsi="Rockwell" w:cs="Rockwell"/>
          </w:rPr>
          <w:t>CSMLS Code of Ethics</w:t>
        </w:r>
      </w:hyperlink>
      <w:r w:rsidRPr="008E4DB9">
        <w:rPr>
          <w:rFonts w:ascii="Rockwell" w:eastAsia="Rockwell" w:hAnsi="Rockwell" w:cs="Rockwell"/>
          <w:color w:val="000000"/>
        </w:rPr>
        <w:t xml:space="preserve"> serves to define and expand the inherent ethical concepts contained in the </w:t>
      </w:r>
      <w:hyperlink r:id="rId9" w:history="1">
        <w:r w:rsidRPr="008E4DB9">
          <w:rPr>
            <w:rStyle w:val="Hyperlink"/>
            <w:rFonts w:ascii="Rockwell" w:eastAsia="Rockwell" w:hAnsi="Rockwell" w:cs="Rockwell"/>
          </w:rPr>
          <w:t>CSMLS Code of Professional Conduct</w:t>
        </w:r>
      </w:hyperlink>
      <w:r w:rsidRPr="008E4DB9">
        <w:rPr>
          <w:rFonts w:ascii="Rockwell" w:eastAsia="Rockwell" w:hAnsi="Rockwell" w:cs="Rockwell"/>
          <w:color w:val="000000"/>
        </w:rPr>
        <w:t>, document expectations of ethical behaviour for all medical laboratory professionals and provide a framework during professional and personal self-evaluation. Consider how adhering to these codes could have prevented the situation. What other codes are applicable?</w:t>
      </w:r>
    </w:p>
    <w:p w14:paraId="3898E46C" w14:textId="77777777" w:rsidR="00BC51F0" w:rsidRPr="00F02A2F" w:rsidRDefault="00A80AA2">
      <w:pPr>
        <w:spacing w:after="0"/>
        <w:rPr>
          <w:rFonts w:ascii="Rockwell" w:eastAsia="Rockwell" w:hAnsi="Rockwell" w:cs="Rockwell"/>
          <w:i/>
        </w:rPr>
      </w:pPr>
      <w:r w:rsidRPr="00F02A2F">
        <w:rPr>
          <w:rFonts w:ascii="Rockwell" w:eastAsia="Rockwell" w:hAnsi="Rockwell" w:cs="Rockwell"/>
          <w:i/>
        </w:rPr>
        <w:t>Code of Ethics</w:t>
      </w:r>
    </w:p>
    <w:p w14:paraId="5C7FD0C9" w14:textId="304A9B0D" w:rsidR="00BC51F0" w:rsidRPr="00F02A2F" w:rsidRDefault="00A80AA2" w:rsidP="00F02A2F">
      <w:pPr>
        <w:numPr>
          <w:ilvl w:val="0"/>
          <w:numId w:val="3"/>
        </w:numPr>
        <w:pBdr>
          <w:top w:val="nil"/>
          <w:left w:val="nil"/>
          <w:bottom w:val="nil"/>
          <w:right w:val="nil"/>
          <w:between w:val="nil"/>
        </w:pBdr>
        <w:spacing w:after="0"/>
        <w:rPr>
          <w:rFonts w:ascii="Rockwell" w:eastAsia="Rockwell" w:hAnsi="Rockwell" w:cs="Rockwell"/>
        </w:rPr>
      </w:pPr>
      <w:r w:rsidRPr="00F02A2F">
        <w:rPr>
          <w:rFonts w:ascii="Rockwell" w:eastAsia="Rockwell" w:hAnsi="Rockwell" w:cs="Rockwell"/>
        </w:rPr>
        <w:t>1.4 Utilize professional and institutional mechanisms to intervene when witness to unsafe, incompetent or unethical practices.</w:t>
      </w:r>
    </w:p>
    <w:p w14:paraId="2E7988C9" w14:textId="45B07647" w:rsidR="00BC51F0" w:rsidRPr="00F02A2F" w:rsidRDefault="00A80AA2" w:rsidP="00F02A2F">
      <w:pPr>
        <w:numPr>
          <w:ilvl w:val="0"/>
          <w:numId w:val="3"/>
        </w:numPr>
        <w:pBdr>
          <w:top w:val="nil"/>
          <w:left w:val="nil"/>
          <w:bottom w:val="nil"/>
          <w:right w:val="nil"/>
          <w:between w:val="nil"/>
        </w:pBdr>
        <w:spacing w:after="0"/>
        <w:rPr>
          <w:rFonts w:ascii="Rockwell" w:eastAsia="Rockwell" w:hAnsi="Rockwell" w:cs="Rockwell"/>
        </w:rPr>
      </w:pPr>
      <w:r w:rsidRPr="00F02A2F">
        <w:rPr>
          <w:rFonts w:ascii="Rockwell" w:eastAsia="Rockwell" w:hAnsi="Rockwell" w:cs="Rockwell"/>
        </w:rPr>
        <w:t>1.5 Assume responsibility for errors one has committed or observed and take immediate action to prevent or minimize associated harm.</w:t>
      </w:r>
    </w:p>
    <w:p w14:paraId="072903B9" w14:textId="1DB65E08" w:rsidR="00BC51F0" w:rsidRPr="00F02A2F" w:rsidRDefault="00A80AA2" w:rsidP="00F02A2F">
      <w:pPr>
        <w:numPr>
          <w:ilvl w:val="0"/>
          <w:numId w:val="3"/>
        </w:numPr>
        <w:pBdr>
          <w:top w:val="nil"/>
          <w:left w:val="nil"/>
          <w:bottom w:val="nil"/>
          <w:right w:val="nil"/>
          <w:between w:val="nil"/>
        </w:pBdr>
        <w:spacing w:after="0"/>
        <w:rPr>
          <w:rFonts w:ascii="Rockwell" w:eastAsia="Rockwell" w:hAnsi="Rockwell" w:cs="Rockwell"/>
        </w:rPr>
      </w:pPr>
      <w:r w:rsidRPr="00F02A2F">
        <w:rPr>
          <w:rFonts w:ascii="Rockwell" w:eastAsia="Rockwell" w:hAnsi="Rockwell" w:cs="Rockwell"/>
        </w:rPr>
        <w:t>4.3 Be responsible for the quality, integrity and reliability of the laboratory services one provides.</w:t>
      </w:r>
    </w:p>
    <w:p w14:paraId="4B8077B2" w14:textId="1C545593" w:rsidR="00BC51F0" w:rsidRPr="00F02A2F" w:rsidRDefault="00A80AA2" w:rsidP="00F02A2F">
      <w:pPr>
        <w:numPr>
          <w:ilvl w:val="0"/>
          <w:numId w:val="3"/>
        </w:numPr>
        <w:pBdr>
          <w:top w:val="nil"/>
          <w:left w:val="nil"/>
          <w:bottom w:val="nil"/>
          <w:right w:val="nil"/>
          <w:between w:val="nil"/>
        </w:pBdr>
        <w:rPr>
          <w:rFonts w:ascii="Rockwell" w:eastAsia="Rockwell" w:hAnsi="Rockwell" w:cs="Rockwell"/>
        </w:rPr>
      </w:pPr>
      <w:r w:rsidRPr="00F02A2F">
        <w:rPr>
          <w:rFonts w:ascii="Rockwell" w:eastAsia="Rockwell" w:hAnsi="Rockwell" w:cs="Rockwell"/>
        </w:rPr>
        <w:t>5.3 Encourage the trust and confidence of the public through high standards of professional competence, conduct and deportment.</w:t>
      </w:r>
    </w:p>
    <w:p w14:paraId="1A7CB6F1" w14:textId="77777777" w:rsidR="00BC51F0" w:rsidRPr="00F02A2F" w:rsidRDefault="00A80AA2">
      <w:pPr>
        <w:spacing w:after="0"/>
        <w:rPr>
          <w:rFonts w:ascii="Rockwell" w:eastAsia="Rockwell" w:hAnsi="Rockwell" w:cs="Rockwell"/>
          <w:i/>
        </w:rPr>
      </w:pPr>
      <w:r w:rsidRPr="00F02A2F">
        <w:rPr>
          <w:rFonts w:ascii="Rockwell" w:eastAsia="Rockwell" w:hAnsi="Rockwell" w:cs="Rockwell"/>
          <w:i/>
        </w:rPr>
        <w:t>Code of Professional Conduct</w:t>
      </w:r>
    </w:p>
    <w:p w14:paraId="4D9FC655" w14:textId="77777777" w:rsidR="001C6F1A" w:rsidRDefault="00A80AA2" w:rsidP="001C6F1A">
      <w:pPr>
        <w:numPr>
          <w:ilvl w:val="0"/>
          <w:numId w:val="4"/>
        </w:numPr>
        <w:pBdr>
          <w:top w:val="nil"/>
          <w:left w:val="nil"/>
          <w:bottom w:val="nil"/>
          <w:right w:val="nil"/>
          <w:between w:val="nil"/>
        </w:pBdr>
        <w:spacing w:after="0" w:line="240" w:lineRule="auto"/>
        <w:rPr>
          <w:rFonts w:ascii="Rockwell" w:eastAsia="Rockwell" w:hAnsi="Rockwell" w:cs="Rockwell"/>
        </w:rPr>
      </w:pPr>
      <w:r w:rsidRPr="00F02A2F">
        <w:rPr>
          <w:rFonts w:ascii="Rockwell" w:eastAsia="Rockwell" w:hAnsi="Rockwell" w:cs="Rockwell"/>
        </w:rPr>
        <w:t>Medical laboratory professionals shall take responsibility for their professional acts.</w:t>
      </w:r>
    </w:p>
    <w:p w14:paraId="40606E3D" w14:textId="6A8D6670" w:rsidR="001C6F1A" w:rsidRPr="001C6F1A" w:rsidRDefault="001C6F1A" w:rsidP="001C6F1A">
      <w:pPr>
        <w:numPr>
          <w:ilvl w:val="0"/>
          <w:numId w:val="4"/>
        </w:numPr>
        <w:pBdr>
          <w:top w:val="nil"/>
          <w:left w:val="nil"/>
          <w:bottom w:val="nil"/>
          <w:right w:val="nil"/>
          <w:between w:val="nil"/>
        </w:pBdr>
        <w:spacing w:after="0" w:line="240" w:lineRule="auto"/>
        <w:rPr>
          <w:rFonts w:ascii="Rockwell" w:eastAsia="Rockwell" w:hAnsi="Rockwell" w:cs="Rockwell"/>
        </w:rPr>
      </w:pPr>
      <w:r w:rsidRPr="001C6F1A">
        <w:rPr>
          <w:rFonts w:ascii="Rockwell" w:eastAsia="Rockwell" w:hAnsi="Rockwell" w:cs="Rockwell"/>
        </w:rPr>
        <w:t xml:space="preserve">Medical laboratory professionals are dedicated to serving the healthcare needs of the public. The welfare of the patient and respect for the dignity of the individual shall be paramount at all times. </w:t>
      </w:r>
    </w:p>
    <w:p w14:paraId="451AFC95" w14:textId="77777777" w:rsidR="001C6F1A" w:rsidRDefault="001C6F1A" w:rsidP="001C6F1A">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p>
    <w:p w14:paraId="0A149E89" w14:textId="588017B9" w:rsidR="00BC51F0" w:rsidRPr="001C6F1A" w:rsidRDefault="00A80AA2">
      <w:pPr>
        <w:pBdr>
          <w:top w:val="nil"/>
          <w:left w:val="nil"/>
          <w:bottom w:val="nil"/>
          <w:right w:val="nil"/>
          <w:between w:val="nil"/>
        </w:pBdr>
        <w:spacing w:before="120" w:after="120" w:line="240" w:lineRule="auto"/>
        <w:rPr>
          <w:rFonts w:ascii="Century Gothic" w:eastAsia="Century Gothic" w:hAnsi="Century Gothic" w:cs="Century Gothic"/>
          <w:b/>
          <w:color w:val="000000"/>
          <w:sz w:val="20"/>
          <w:szCs w:val="20"/>
        </w:rPr>
      </w:pPr>
      <w:r w:rsidRPr="001C6F1A">
        <w:rPr>
          <w:rFonts w:ascii="Century Gothic" w:eastAsia="Century Gothic" w:hAnsi="Century Gothic" w:cs="Century Gothic"/>
          <w:b/>
          <w:color w:val="000000"/>
          <w:sz w:val="20"/>
          <w:szCs w:val="20"/>
        </w:rPr>
        <w:t xml:space="preserve">Relevant </w:t>
      </w:r>
      <w:r w:rsidR="00F02A2F" w:rsidRPr="001C6F1A">
        <w:rPr>
          <w:rFonts w:ascii="Century Gothic" w:eastAsia="Century Gothic" w:hAnsi="Century Gothic" w:cs="Century Gothic"/>
          <w:b/>
          <w:color w:val="000000"/>
          <w:sz w:val="20"/>
          <w:szCs w:val="20"/>
        </w:rPr>
        <w:t>Articles</w:t>
      </w:r>
    </w:p>
    <w:p w14:paraId="4AB2A098" w14:textId="77777777" w:rsidR="001C6F1A" w:rsidRDefault="001C6F1A" w:rsidP="001C6F1A">
      <w:pPr>
        <w:pStyle w:val="Heading1"/>
        <w:spacing w:before="0" w:line="240" w:lineRule="auto"/>
        <w:textAlignment w:val="baseline"/>
        <w:rPr>
          <w:rFonts w:ascii="Rockwell" w:hAnsi="Rockwell" w:cs="Arial"/>
          <w:color w:val="252525"/>
          <w:sz w:val="22"/>
          <w:szCs w:val="22"/>
        </w:rPr>
        <w:sectPr w:rsidR="001C6F1A">
          <w:headerReference w:type="default" r:id="rId10"/>
          <w:footerReference w:type="default" r:id="rId11"/>
          <w:pgSz w:w="12240" w:h="15840"/>
          <w:pgMar w:top="1080" w:right="1440" w:bottom="1440" w:left="1440" w:header="720" w:footer="420" w:gutter="0"/>
          <w:pgNumType w:start="1"/>
          <w:cols w:space="720"/>
        </w:sectPr>
      </w:pPr>
      <w:bookmarkStart w:id="0" w:name="_p1z3ubrt5gzc" w:colFirst="0" w:colLast="0"/>
      <w:bookmarkEnd w:id="0"/>
    </w:p>
    <w:p w14:paraId="71449087" w14:textId="2DB2BBF5" w:rsidR="00F02A2F" w:rsidRPr="001C6F1A" w:rsidRDefault="00A66EA8" w:rsidP="001C6F1A">
      <w:pPr>
        <w:pStyle w:val="Heading1"/>
        <w:spacing w:before="0" w:line="240" w:lineRule="auto"/>
        <w:textAlignment w:val="baseline"/>
        <w:rPr>
          <w:rFonts w:ascii="Rockwell" w:hAnsi="Rockwell" w:cs="Arial"/>
          <w:color w:val="252525"/>
          <w:sz w:val="22"/>
          <w:szCs w:val="22"/>
        </w:rPr>
      </w:pPr>
      <w:hyperlink r:id="rId12" w:history="1">
        <w:r w:rsidR="00F02A2F" w:rsidRPr="001C6F1A">
          <w:rPr>
            <w:rStyle w:val="Hyperlink"/>
            <w:rFonts w:ascii="Rockwell" w:hAnsi="Rockwell" w:cs="Arial"/>
            <w:sz w:val="22"/>
            <w:szCs w:val="22"/>
          </w:rPr>
          <w:t>Right Patient, Wrong Sample</w:t>
        </w:r>
      </w:hyperlink>
      <w:bookmarkStart w:id="1" w:name="_GoBack"/>
      <w:bookmarkEnd w:id="1"/>
    </w:p>
    <w:p w14:paraId="7A7B4071" w14:textId="012D241C" w:rsidR="001C6F1A" w:rsidRPr="001C6F1A" w:rsidRDefault="00A66EA8" w:rsidP="001C6F1A">
      <w:pPr>
        <w:spacing w:after="0" w:line="240" w:lineRule="auto"/>
        <w:rPr>
          <w:rFonts w:ascii="Rockwell" w:hAnsi="Rockwell"/>
        </w:rPr>
      </w:pPr>
      <w:hyperlink r:id="rId13" w:history="1">
        <w:r w:rsidR="001C6F1A" w:rsidRPr="001C6F1A">
          <w:rPr>
            <w:rStyle w:val="Hyperlink"/>
            <w:rFonts w:ascii="Rockwell" w:hAnsi="Rockwell"/>
          </w:rPr>
          <w:t>Diagnostic Errors and Laboratory Medicine – Causes and Strategies</w:t>
        </w:r>
      </w:hyperlink>
    </w:p>
    <w:p w14:paraId="6750FB9F" w14:textId="04E2C3BD" w:rsidR="00BC51F0" w:rsidRPr="001C6F1A" w:rsidRDefault="00A66EA8" w:rsidP="001C6F1A">
      <w:pPr>
        <w:pStyle w:val="Heading1"/>
        <w:keepNext w:val="0"/>
        <w:keepLines w:val="0"/>
        <w:shd w:val="clear" w:color="auto" w:fill="FFFFFF"/>
        <w:spacing w:before="0" w:line="240" w:lineRule="auto"/>
        <w:rPr>
          <w:rFonts w:ascii="Rockwell" w:hAnsi="Rockwell"/>
          <w:sz w:val="22"/>
          <w:szCs w:val="22"/>
        </w:rPr>
      </w:pPr>
      <w:hyperlink r:id="rId14" w:history="1">
        <w:r w:rsidR="00F02A2F" w:rsidRPr="001C6F1A">
          <w:rPr>
            <w:rStyle w:val="Hyperlink"/>
            <w:rFonts w:ascii="Rockwell" w:hAnsi="Rockwell"/>
            <w:sz w:val="22"/>
            <w:szCs w:val="22"/>
          </w:rPr>
          <w:t>Texas woman died after hospital gave wrong blood type in transfusion</w:t>
        </w:r>
        <w:bookmarkStart w:id="2" w:name="_awmgcxddqnhx" w:colFirst="0" w:colLast="0"/>
        <w:bookmarkEnd w:id="2"/>
      </w:hyperlink>
      <w:r w:rsidR="00F02A2F" w:rsidRPr="001C6F1A">
        <w:rPr>
          <w:rFonts w:ascii="Rockwell" w:hAnsi="Rockwell"/>
          <w:sz w:val="22"/>
          <w:szCs w:val="22"/>
        </w:rPr>
        <w:t xml:space="preserve"> </w:t>
      </w:r>
    </w:p>
    <w:p w14:paraId="0A7BE5AE" w14:textId="486A00AE" w:rsidR="00F02A2F" w:rsidRPr="001C6F1A" w:rsidRDefault="00A66EA8" w:rsidP="001C6F1A">
      <w:pPr>
        <w:spacing w:after="0" w:line="240" w:lineRule="auto"/>
        <w:rPr>
          <w:rFonts w:ascii="Rockwell" w:hAnsi="Rockwell"/>
        </w:rPr>
      </w:pPr>
      <w:hyperlink r:id="rId15" w:history="1">
        <w:r w:rsidR="00F02A2F" w:rsidRPr="001C6F1A">
          <w:rPr>
            <w:rStyle w:val="Hyperlink"/>
            <w:rFonts w:ascii="Rockwell" w:hAnsi="Rockwell"/>
          </w:rPr>
          <w:t>Oops. Correcting scientific errors</w:t>
        </w:r>
      </w:hyperlink>
    </w:p>
    <w:sectPr w:rsidR="00F02A2F" w:rsidRPr="001C6F1A" w:rsidSect="001C6F1A">
      <w:type w:val="continuous"/>
      <w:pgSz w:w="12240" w:h="15840"/>
      <w:pgMar w:top="1080" w:right="1440" w:bottom="1440" w:left="1440" w:header="720" w:footer="4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25E7E" w14:textId="77777777" w:rsidR="00A66EA8" w:rsidRDefault="00A66EA8">
      <w:pPr>
        <w:spacing w:after="0" w:line="240" w:lineRule="auto"/>
      </w:pPr>
      <w:r>
        <w:separator/>
      </w:r>
    </w:p>
  </w:endnote>
  <w:endnote w:type="continuationSeparator" w:id="0">
    <w:p w14:paraId="713FB957" w14:textId="77777777" w:rsidR="00A66EA8" w:rsidRDefault="00A66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D25F1" w14:textId="77777777" w:rsidR="00BC51F0" w:rsidRDefault="00A80AA2">
    <w:pPr>
      <w:jc w:val="center"/>
      <w:rPr>
        <w:rFonts w:ascii="Rockwell" w:eastAsia="Rockwell" w:hAnsi="Rockwell" w:cs="Rockwell"/>
        <w:sz w:val="18"/>
        <w:szCs w:val="18"/>
      </w:rPr>
    </w:pPr>
    <w:r>
      <w:rPr>
        <w:rFonts w:ascii="Rockwell" w:eastAsia="Rockwell" w:hAnsi="Rockwell" w:cs="Rockwell"/>
        <w:sz w:val="18"/>
        <w:szCs w:val="18"/>
      </w:rPr>
      <w:t xml:space="preserve">Take the </w:t>
    </w:r>
    <w:hyperlink r:id="rId1">
      <w:r>
        <w:rPr>
          <w:rFonts w:ascii="Rockwell" w:eastAsia="Rockwell" w:hAnsi="Rockwell" w:cs="Rockwell"/>
          <w:color w:val="0000FF"/>
          <w:sz w:val="18"/>
          <w:szCs w:val="18"/>
          <w:u w:val="single"/>
        </w:rPr>
        <w:t>free CSMLS Code of Ethics course</w:t>
      </w:r>
    </w:hyperlink>
    <w:r>
      <w:rPr>
        <w:rFonts w:ascii="Rockwell" w:eastAsia="Rockwell" w:hAnsi="Rockwell" w:cs="Rockwell"/>
        <w:sz w:val="18"/>
        <w:szCs w:val="18"/>
      </w:rPr>
      <w:t xml:space="preserve"> today!</w:t>
    </w:r>
  </w:p>
  <w:p w14:paraId="1AE55D27" w14:textId="77777777" w:rsidR="00BC51F0" w:rsidRDefault="00BC51F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C1F52" w14:textId="77777777" w:rsidR="00A66EA8" w:rsidRDefault="00A66EA8">
      <w:pPr>
        <w:spacing w:after="0" w:line="240" w:lineRule="auto"/>
      </w:pPr>
      <w:r>
        <w:separator/>
      </w:r>
    </w:p>
  </w:footnote>
  <w:footnote w:type="continuationSeparator" w:id="0">
    <w:p w14:paraId="274661B7" w14:textId="77777777" w:rsidR="00A66EA8" w:rsidRDefault="00A66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C859" w14:textId="77777777" w:rsidR="00BC51F0" w:rsidRDefault="00A80AA2">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61EB6736" wp14:editId="1EE372DD">
          <wp:extent cx="2553093" cy="7159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53093" cy="71594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6AE8"/>
    <w:multiLevelType w:val="multilevel"/>
    <w:tmpl w:val="0EA4138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E4440CE"/>
    <w:multiLevelType w:val="multilevel"/>
    <w:tmpl w:val="E60A89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A6298D"/>
    <w:multiLevelType w:val="multilevel"/>
    <w:tmpl w:val="9E049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3E72F19"/>
    <w:multiLevelType w:val="multilevel"/>
    <w:tmpl w:val="0EA413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4983B78"/>
    <w:multiLevelType w:val="multilevel"/>
    <w:tmpl w:val="76480E4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yNDI3NjMwNzUxtzRR0lEKTi0uzszPAykwrgUAYluu2iwAAAA="/>
  </w:docVars>
  <w:rsids>
    <w:rsidRoot w:val="00BC51F0"/>
    <w:rsid w:val="001C6F1A"/>
    <w:rsid w:val="007819B5"/>
    <w:rsid w:val="00785195"/>
    <w:rsid w:val="008E4DB9"/>
    <w:rsid w:val="00A66EA8"/>
    <w:rsid w:val="00A80AA2"/>
    <w:rsid w:val="00BC51F0"/>
    <w:rsid w:val="00C829E9"/>
    <w:rsid w:val="00E942D9"/>
    <w:rsid w:val="00F02A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330D"/>
  <w15:docId w15:val="{E22D77BB-562F-4CDB-9F24-A82003B2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F02A2F"/>
    <w:rPr>
      <w:color w:val="0000FF" w:themeColor="hyperlink"/>
      <w:u w:val="single"/>
    </w:rPr>
  </w:style>
  <w:style w:type="character" w:styleId="UnresolvedMention">
    <w:name w:val="Unresolved Mention"/>
    <w:basedOn w:val="DefaultParagraphFont"/>
    <w:uiPriority w:val="99"/>
    <w:semiHidden/>
    <w:unhideWhenUsed/>
    <w:rsid w:val="00F02A2F"/>
    <w:rPr>
      <w:color w:val="605E5C"/>
      <w:shd w:val="clear" w:color="auto" w:fill="E1DFDD"/>
    </w:rPr>
  </w:style>
  <w:style w:type="paragraph" w:styleId="ListParagraph">
    <w:name w:val="List Paragraph"/>
    <w:basedOn w:val="Normal"/>
    <w:uiPriority w:val="34"/>
    <w:qFormat/>
    <w:rsid w:val="001C6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246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smls.org/About-Us/Our-Members/Code-of-Ethics.aspx" TargetMode="External"/><Relationship Id="rId13" Type="http://schemas.openxmlformats.org/officeDocument/2006/relationships/hyperlink" Target="https://www.ncbi.nlm.nih.gov/pmc/articles/PMC4975219/" TargetMode="External"/><Relationship Id="rId3" Type="http://schemas.openxmlformats.org/officeDocument/2006/relationships/settings" Target="settings.xml"/><Relationship Id="rId7" Type="http://schemas.openxmlformats.org/officeDocument/2006/relationships/hyperlink" Target="http://www.newindianexpress.com/states/andhra-pradesh/2019/jun/30/five-suspended-for-wrong-blood-transfusion-in-andhra-pradesh-1997410.html" TargetMode="External"/><Relationship Id="rId12" Type="http://schemas.openxmlformats.org/officeDocument/2006/relationships/hyperlink" Target="https://psnet.ahrq.gov/webmm/case/142/Right-Patient-Wrong-Samp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ciencenewsforstudents.org/blog/eureka-lab/oops-correcting-scientific-errors"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smls.org/About-Us/Our-Members/Code-of-Conduct.aspx" TargetMode="External"/><Relationship Id="rId14" Type="http://schemas.openxmlformats.org/officeDocument/2006/relationships/hyperlink" Target="https://www.newsweek.com/texas-houston-baylor-st-lukes-medical-center-president-doug-lawson-blood-134535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learn.csmls.org/topclass/login.do?redirectTo=%2Fexpand.do%3Ftemplate%3DCatalogBrowse%26catId%3D1394%26CatalogBrowse%26catId%3D1394%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2421</Characters>
  <Application>Microsoft Office Word</Application>
  <DocSecurity>0</DocSecurity>
  <Lines>36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Z</dc:creator>
  <cp:lastModifiedBy>Laura Zychla</cp:lastModifiedBy>
  <cp:revision>4</cp:revision>
  <dcterms:created xsi:type="dcterms:W3CDTF">2019-08-14T22:08:00Z</dcterms:created>
  <dcterms:modified xsi:type="dcterms:W3CDTF">2019-08-28T14:46:00Z</dcterms:modified>
</cp:coreProperties>
</file>