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5429" w14:textId="41000063" w:rsidR="00073FEC" w:rsidRDefault="00073FEC" w:rsidP="00073FEC">
      <w:pPr>
        <w:jc w:val="center"/>
        <w:rPr>
          <w:lang w:val="en-US"/>
        </w:rPr>
      </w:pPr>
      <w:bookmarkStart w:id="0" w:name="_GoBack"/>
      <w:bookmarkEnd w:id="0"/>
    </w:p>
    <w:p w14:paraId="3ECE64E3" w14:textId="6959AC31" w:rsidR="00EF2F69" w:rsidRDefault="00EF2F69" w:rsidP="00EF2F69">
      <w:pPr>
        <w:pStyle w:val="CSMLS-Heading"/>
      </w:pPr>
      <w:r w:rsidRPr="009A71B8">
        <w:t xml:space="preserve">Ethics </w:t>
      </w:r>
      <w:r>
        <w:t>o</w:t>
      </w:r>
      <w:r w:rsidRPr="009A71B8">
        <w:t>n Demand</w:t>
      </w:r>
      <w:r>
        <w:t xml:space="preserve"> – Contaminated Needle</w:t>
      </w:r>
    </w:p>
    <w:p w14:paraId="38A3B229" w14:textId="77777777" w:rsidR="00EF2F69" w:rsidRDefault="00EF2F69" w:rsidP="00B75685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AA110BC" w14:textId="0F011C34" w:rsidR="00073FEC" w:rsidRPr="00EF2F69" w:rsidRDefault="00073FEC" w:rsidP="00B75685">
      <w:pPr>
        <w:spacing w:after="0"/>
        <w:rPr>
          <w:rFonts w:ascii="Century Gothic" w:hAnsi="Century Gothic"/>
          <w:b/>
          <w:sz w:val="20"/>
          <w:szCs w:val="20"/>
        </w:rPr>
      </w:pPr>
      <w:r w:rsidRPr="00EF2F69">
        <w:rPr>
          <w:rFonts w:ascii="Century Gothic" w:hAnsi="Century Gothic"/>
          <w:b/>
          <w:sz w:val="20"/>
          <w:szCs w:val="20"/>
        </w:rPr>
        <w:t xml:space="preserve">Article: </w:t>
      </w:r>
      <w:hyperlink r:id="rId8" w:history="1">
        <w:r w:rsidR="00AA717F" w:rsidRPr="00EF2F69">
          <w:rPr>
            <w:rStyle w:val="Hyperlink"/>
            <w:rFonts w:ascii="Century Gothic" w:hAnsi="Century Gothic"/>
            <w:b/>
            <w:sz w:val="20"/>
            <w:szCs w:val="20"/>
          </w:rPr>
          <w:t>Contaminated needle used to draw blood from child at St. Catharines hospital</w:t>
        </w:r>
      </w:hyperlink>
    </w:p>
    <w:p w14:paraId="400BF24F" w14:textId="45CB52C9" w:rsidR="00073FEC" w:rsidRPr="00EF2F69" w:rsidRDefault="00073FEC" w:rsidP="00EF2F69">
      <w:pPr>
        <w:spacing w:before="120"/>
        <w:rPr>
          <w:rFonts w:ascii="Century Gothic" w:hAnsi="Century Gothic"/>
          <w:b/>
          <w:sz w:val="20"/>
          <w:szCs w:val="20"/>
        </w:rPr>
      </w:pPr>
      <w:r w:rsidRPr="00EF2F69">
        <w:rPr>
          <w:rFonts w:ascii="Century Gothic" w:hAnsi="Century Gothic"/>
          <w:b/>
          <w:sz w:val="20"/>
          <w:szCs w:val="20"/>
        </w:rPr>
        <w:t>What was the situation?</w:t>
      </w:r>
    </w:p>
    <w:p w14:paraId="131ECE7C" w14:textId="6119FBC9" w:rsidR="00E80AC8" w:rsidRDefault="00AA717F" w:rsidP="00E80AC8">
      <w:pPr>
        <w:rPr>
          <w:rFonts w:ascii="Rockwell" w:hAnsi="Rockwell"/>
        </w:rPr>
      </w:pPr>
      <w:r>
        <w:rPr>
          <w:rFonts w:ascii="Rockwell" w:hAnsi="Rockwell"/>
        </w:rPr>
        <w:t>A</w:t>
      </w:r>
      <w:r w:rsidRPr="00AA717F">
        <w:rPr>
          <w:rFonts w:ascii="Rockwell" w:hAnsi="Rockwell"/>
        </w:rPr>
        <w:t xml:space="preserve"> personal support worker</w:t>
      </w:r>
      <w:r>
        <w:rPr>
          <w:rFonts w:ascii="Rockwell" w:hAnsi="Rockwell"/>
        </w:rPr>
        <w:t>,</w:t>
      </w:r>
      <w:r w:rsidRPr="00AA717F">
        <w:rPr>
          <w:rFonts w:ascii="Rockwell" w:hAnsi="Rockwell"/>
        </w:rPr>
        <w:t xml:space="preserve"> assisting </w:t>
      </w:r>
      <w:r>
        <w:rPr>
          <w:rFonts w:ascii="Rockwell" w:hAnsi="Rockwell"/>
        </w:rPr>
        <w:t>a</w:t>
      </w:r>
      <w:r w:rsidRPr="00AA717F">
        <w:rPr>
          <w:rFonts w:ascii="Rockwell" w:hAnsi="Rockwell"/>
        </w:rPr>
        <w:t xml:space="preserve"> nurse</w:t>
      </w:r>
      <w:r>
        <w:rPr>
          <w:rFonts w:ascii="Rockwell" w:hAnsi="Rockwell"/>
        </w:rPr>
        <w:t xml:space="preserve"> with a blood draw </w:t>
      </w:r>
      <w:r w:rsidR="009A3B67">
        <w:rPr>
          <w:rFonts w:ascii="Rockwell" w:hAnsi="Rockwell"/>
        </w:rPr>
        <w:t xml:space="preserve">on a </w:t>
      </w:r>
      <w:r w:rsidR="004646B0">
        <w:rPr>
          <w:rFonts w:ascii="Rockwell" w:hAnsi="Rockwell"/>
        </w:rPr>
        <w:t>two</w:t>
      </w:r>
      <w:r w:rsidR="009A3B67">
        <w:rPr>
          <w:rFonts w:ascii="Rockwell" w:hAnsi="Rockwell"/>
        </w:rPr>
        <w:t>-year</w:t>
      </w:r>
      <w:r w:rsidR="004646B0">
        <w:rPr>
          <w:rFonts w:ascii="Rockwell" w:hAnsi="Rockwell"/>
        </w:rPr>
        <w:t>-</w:t>
      </w:r>
      <w:r w:rsidR="009A3B67">
        <w:rPr>
          <w:rFonts w:ascii="Rockwell" w:hAnsi="Rockwell"/>
        </w:rPr>
        <w:t xml:space="preserve">old boy </w:t>
      </w:r>
      <w:r>
        <w:rPr>
          <w:rFonts w:ascii="Rockwell" w:hAnsi="Rockwell"/>
        </w:rPr>
        <w:t>in a hospital emergency room,</w:t>
      </w:r>
      <w:r w:rsidRPr="00AA717F">
        <w:rPr>
          <w:rFonts w:ascii="Rockwell" w:hAnsi="Rockwell"/>
        </w:rPr>
        <w:t xml:space="preserve"> pricked her finger with the needle</w:t>
      </w:r>
      <w:r w:rsidR="00E80AC8">
        <w:rPr>
          <w:rFonts w:ascii="Rockwell" w:hAnsi="Rockwell"/>
        </w:rPr>
        <w:t>. Cont</w:t>
      </w:r>
      <w:r w:rsidRPr="00AA717F">
        <w:rPr>
          <w:rFonts w:ascii="Rockwell" w:hAnsi="Rockwell"/>
        </w:rPr>
        <w:t xml:space="preserve">rary to hospital policy, </w:t>
      </w:r>
      <w:r w:rsidR="00E80AC8">
        <w:rPr>
          <w:rFonts w:ascii="Rockwell" w:hAnsi="Rockwell"/>
        </w:rPr>
        <w:t xml:space="preserve">the personal support work passed </w:t>
      </w:r>
      <w:r w:rsidRPr="00AA717F">
        <w:rPr>
          <w:rFonts w:ascii="Rockwell" w:hAnsi="Rockwell"/>
        </w:rPr>
        <w:t xml:space="preserve">the needle </w:t>
      </w:r>
      <w:r w:rsidR="00E80AC8">
        <w:rPr>
          <w:rFonts w:ascii="Rockwell" w:hAnsi="Rockwell"/>
        </w:rPr>
        <w:t xml:space="preserve">back to </w:t>
      </w:r>
      <w:r w:rsidRPr="00AA717F">
        <w:rPr>
          <w:rFonts w:ascii="Rockwell" w:hAnsi="Rockwell"/>
        </w:rPr>
        <w:t>the nurse</w:t>
      </w:r>
      <w:r w:rsidR="00E80AC8">
        <w:rPr>
          <w:rFonts w:ascii="Rockwell" w:hAnsi="Rockwell"/>
        </w:rPr>
        <w:t xml:space="preserve"> to hold. The nurse then used the contaminated need to </w:t>
      </w:r>
      <w:r w:rsidRPr="00AA717F">
        <w:rPr>
          <w:rFonts w:ascii="Rockwell" w:hAnsi="Rockwell"/>
        </w:rPr>
        <w:t>draw blood</w:t>
      </w:r>
      <w:r w:rsidR="00E80AC8">
        <w:rPr>
          <w:rFonts w:ascii="Rockwell" w:hAnsi="Rockwell"/>
        </w:rPr>
        <w:t xml:space="preserve"> from the child</w:t>
      </w:r>
      <w:r w:rsidR="009A3B67">
        <w:rPr>
          <w:rFonts w:ascii="Rockwell" w:hAnsi="Rockwell"/>
        </w:rPr>
        <w:t xml:space="preserve">. </w:t>
      </w:r>
      <w:r w:rsidR="00E80AC8">
        <w:rPr>
          <w:rFonts w:ascii="Rockwell" w:hAnsi="Rockwell"/>
        </w:rPr>
        <w:t xml:space="preserve">The child’s mother and nurse were </w:t>
      </w:r>
      <w:r w:rsidR="009A3B67">
        <w:rPr>
          <w:rFonts w:ascii="Rockwell" w:hAnsi="Rockwell"/>
        </w:rPr>
        <w:t xml:space="preserve">not aware </w:t>
      </w:r>
      <w:r w:rsidR="00E80AC8">
        <w:rPr>
          <w:rFonts w:ascii="Rockwell" w:hAnsi="Rockwell"/>
        </w:rPr>
        <w:t xml:space="preserve">that </w:t>
      </w:r>
      <w:r w:rsidR="009A3B67">
        <w:rPr>
          <w:rFonts w:ascii="Rockwell" w:hAnsi="Rockwell"/>
        </w:rPr>
        <w:t>the personal support worker had pricked herself with the needle.</w:t>
      </w:r>
      <w:r w:rsidR="00E80AC8">
        <w:rPr>
          <w:rFonts w:ascii="Rockwell" w:hAnsi="Rockwell"/>
        </w:rPr>
        <w:t xml:space="preserve"> The personal support worker files an incident report after the blood was drawn. It took 48 hours for the report to be processed and for the family to be notified.</w:t>
      </w:r>
    </w:p>
    <w:p w14:paraId="46C00C3E" w14:textId="5B8186D7" w:rsidR="00073FEC" w:rsidRPr="00EF2F69" w:rsidRDefault="00073FEC" w:rsidP="00EF2F69">
      <w:pPr>
        <w:rPr>
          <w:rFonts w:ascii="Century Gothic" w:hAnsi="Century Gothic"/>
          <w:sz w:val="20"/>
          <w:szCs w:val="20"/>
        </w:rPr>
      </w:pPr>
      <w:r w:rsidRPr="00EF2F69">
        <w:rPr>
          <w:rFonts w:ascii="Century Gothic" w:hAnsi="Century Gothic"/>
          <w:b/>
          <w:sz w:val="20"/>
          <w:szCs w:val="20"/>
        </w:rPr>
        <w:t>What went wrong?</w:t>
      </w:r>
    </w:p>
    <w:p w14:paraId="69EA61DA" w14:textId="7C463C14" w:rsidR="00190424" w:rsidRPr="00190424" w:rsidRDefault="00190424" w:rsidP="00073FEC">
      <w:pPr>
        <w:rPr>
          <w:rFonts w:ascii="Rockwell" w:hAnsi="Rockwell"/>
        </w:rPr>
      </w:pPr>
      <w:r w:rsidRPr="00190424">
        <w:rPr>
          <w:rFonts w:ascii="Rockwell" w:hAnsi="Rockwell"/>
        </w:rPr>
        <w:t xml:space="preserve">Lack of </w:t>
      </w:r>
      <w:r w:rsidR="00674271">
        <w:rPr>
          <w:rFonts w:ascii="Rockwell" w:hAnsi="Rockwell"/>
        </w:rPr>
        <w:t>p</w:t>
      </w:r>
      <w:r w:rsidRPr="00190424">
        <w:rPr>
          <w:rFonts w:ascii="Rockwell" w:hAnsi="Rockwell"/>
        </w:rPr>
        <w:t xml:space="preserve">rofessional </w:t>
      </w:r>
      <w:r w:rsidR="003D7D68">
        <w:rPr>
          <w:rFonts w:ascii="Rockwell" w:hAnsi="Rockwell"/>
        </w:rPr>
        <w:t>r</w:t>
      </w:r>
      <w:r w:rsidRPr="00190424">
        <w:rPr>
          <w:rFonts w:ascii="Rockwell" w:hAnsi="Rockwell"/>
        </w:rPr>
        <w:t xml:space="preserve">esponsibility </w:t>
      </w:r>
      <w:r w:rsidR="00A053C0">
        <w:rPr>
          <w:rFonts w:ascii="Rockwell" w:hAnsi="Rockwell"/>
        </w:rPr>
        <w:t xml:space="preserve">   Disregard </w:t>
      </w:r>
      <w:r w:rsidR="004646B0">
        <w:rPr>
          <w:rFonts w:ascii="Rockwell" w:hAnsi="Rockwell"/>
        </w:rPr>
        <w:t>of</w:t>
      </w:r>
      <w:r w:rsidR="00A053C0">
        <w:rPr>
          <w:rFonts w:ascii="Rockwell" w:hAnsi="Rockwell"/>
        </w:rPr>
        <w:t xml:space="preserve"> </w:t>
      </w:r>
      <w:r w:rsidR="00674271">
        <w:rPr>
          <w:rFonts w:ascii="Rockwell" w:hAnsi="Rockwell"/>
        </w:rPr>
        <w:t>s</w:t>
      </w:r>
      <w:r w:rsidR="00A053C0">
        <w:rPr>
          <w:rFonts w:ascii="Rockwell" w:hAnsi="Rockwell"/>
        </w:rPr>
        <w:t xml:space="preserve">afe </w:t>
      </w:r>
      <w:r w:rsidR="00674271">
        <w:rPr>
          <w:rFonts w:ascii="Rockwell" w:hAnsi="Rockwell"/>
        </w:rPr>
        <w:t>p</w:t>
      </w:r>
      <w:r w:rsidR="00A053C0">
        <w:rPr>
          <w:rFonts w:ascii="Rockwell" w:hAnsi="Rockwell"/>
        </w:rPr>
        <w:t>ractices</w:t>
      </w:r>
      <w:r w:rsidR="00D5757F">
        <w:rPr>
          <w:rFonts w:ascii="Rockwell" w:hAnsi="Rockwell"/>
        </w:rPr>
        <w:t xml:space="preserve">          No </w:t>
      </w:r>
      <w:r w:rsidR="00674271">
        <w:rPr>
          <w:rFonts w:ascii="Rockwell" w:hAnsi="Rockwell"/>
        </w:rPr>
        <w:t>a</w:t>
      </w:r>
      <w:r w:rsidR="00D5757F">
        <w:rPr>
          <w:rFonts w:ascii="Rockwell" w:hAnsi="Rockwell"/>
        </w:rPr>
        <w:t>ccountability</w:t>
      </w:r>
    </w:p>
    <w:p w14:paraId="07428905" w14:textId="13060B40" w:rsidR="00073FEC" w:rsidRPr="00EF2F69" w:rsidRDefault="00073FEC" w:rsidP="00EF2F69">
      <w:pPr>
        <w:rPr>
          <w:rFonts w:ascii="Century Gothic" w:hAnsi="Century Gothic"/>
          <w:b/>
          <w:sz w:val="20"/>
          <w:szCs w:val="20"/>
        </w:rPr>
      </w:pPr>
      <w:r w:rsidRPr="00EF2F69">
        <w:rPr>
          <w:rFonts w:ascii="Century Gothic" w:hAnsi="Century Gothic"/>
          <w:b/>
          <w:sz w:val="20"/>
          <w:szCs w:val="20"/>
        </w:rPr>
        <w:t>Using the Code of Ethics</w:t>
      </w:r>
    </w:p>
    <w:p w14:paraId="2D08E436" w14:textId="019E27E5" w:rsidR="00190424" w:rsidRPr="008004FE" w:rsidRDefault="00190424" w:rsidP="00190424">
      <w:pPr>
        <w:rPr>
          <w:rFonts w:ascii="Rockwell" w:hAnsi="Rockwell"/>
        </w:rPr>
      </w:pPr>
      <w:r w:rsidRPr="008004FE">
        <w:rPr>
          <w:rFonts w:ascii="Rockwell" w:hAnsi="Rockwell" w:cs="Arial"/>
        </w:rPr>
        <w:t xml:space="preserve">The </w:t>
      </w:r>
      <w:hyperlink r:id="rId9" w:history="1">
        <w:r w:rsidRPr="008004FE">
          <w:rPr>
            <w:rStyle w:val="Hyperlink"/>
            <w:rFonts w:ascii="Rockwell" w:hAnsi="Rockwell" w:cs="Arial"/>
          </w:rPr>
          <w:t>CSMLS Code of Ethics</w:t>
        </w:r>
      </w:hyperlink>
      <w:r w:rsidRPr="008004FE">
        <w:rPr>
          <w:rFonts w:ascii="Rockwell" w:hAnsi="Rockwell" w:cs="Arial"/>
          <w:color w:val="3F3F3F"/>
        </w:rPr>
        <w:t xml:space="preserve"> </w:t>
      </w:r>
      <w:r w:rsidRPr="008004FE">
        <w:rPr>
          <w:rFonts w:ascii="Rockwell" w:hAnsi="Rockwell" w:cs="Arial"/>
        </w:rPr>
        <w:t xml:space="preserve">serves to define and expand the inherent ethical concepts contained in the </w:t>
      </w:r>
      <w:hyperlink r:id="rId10" w:history="1">
        <w:r w:rsidRPr="00421C04">
          <w:rPr>
            <w:rStyle w:val="Hyperlink"/>
            <w:rFonts w:ascii="Rockwell" w:hAnsi="Rockwell" w:cs="Arial"/>
          </w:rPr>
          <w:t>CSMLS Code of Professional Conduct</w:t>
        </w:r>
      </w:hyperlink>
      <w:r w:rsidRPr="008004FE">
        <w:rPr>
          <w:rFonts w:ascii="Rockwell" w:hAnsi="Rockwell" w:cs="Arial"/>
        </w:rPr>
        <w:t xml:space="preserve">, to document expectations of ethical behaviour for all medical laboratory professionals, and to provide a framework during professional and personal self-evaluation. </w:t>
      </w:r>
      <w:r>
        <w:rPr>
          <w:rFonts w:ascii="Rockwell" w:hAnsi="Rockwell" w:cs="Arial"/>
        </w:rPr>
        <w:t>Consider</w:t>
      </w:r>
      <w:r w:rsidRPr="008004FE">
        <w:rPr>
          <w:rFonts w:ascii="Rockwell" w:hAnsi="Rockwell" w:cs="Arial"/>
        </w:rPr>
        <w:t xml:space="preserve"> how</w:t>
      </w:r>
      <w:r>
        <w:rPr>
          <w:rFonts w:ascii="Rockwell" w:hAnsi="Rockwell" w:cs="Arial"/>
        </w:rPr>
        <w:t xml:space="preserve"> adhering to</w:t>
      </w:r>
      <w:r w:rsidRPr="008004FE">
        <w:rPr>
          <w:rFonts w:ascii="Rockwell" w:hAnsi="Rockwell" w:cs="Arial"/>
        </w:rPr>
        <w:t xml:space="preserve"> these </w:t>
      </w:r>
      <w:r w:rsidR="00C71836">
        <w:rPr>
          <w:rFonts w:ascii="Rockwell" w:hAnsi="Rockwell" w:cs="Arial"/>
        </w:rPr>
        <w:t>c</w:t>
      </w:r>
      <w:r w:rsidRPr="008004FE">
        <w:rPr>
          <w:rFonts w:ascii="Rockwell" w:hAnsi="Rockwell" w:cs="Arial"/>
        </w:rPr>
        <w:t>odes could have prevented the situation</w:t>
      </w:r>
      <w:r>
        <w:rPr>
          <w:rFonts w:ascii="Rockwell" w:hAnsi="Rockwell" w:cs="Arial"/>
        </w:rPr>
        <w:t>.</w:t>
      </w:r>
      <w:r w:rsidRPr="008004FE">
        <w:rPr>
          <w:rFonts w:ascii="Rockwell" w:hAnsi="Rockwell" w:cs="Arial"/>
        </w:rPr>
        <w:t xml:space="preserve"> What other </w:t>
      </w:r>
      <w:r w:rsidR="00C71836">
        <w:rPr>
          <w:rFonts w:ascii="Rockwell" w:hAnsi="Rockwell" w:cs="Arial"/>
        </w:rPr>
        <w:t>c</w:t>
      </w:r>
      <w:r w:rsidRPr="008004FE">
        <w:rPr>
          <w:rFonts w:ascii="Rockwell" w:hAnsi="Rockwell" w:cs="Arial"/>
        </w:rPr>
        <w:t>odes are applicable?</w:t>
      </w:r>
    </w:p>
    <w:p w14:paraId="57FC69E1" w14:textId="77777777" w:rsidR="00B75685" w:rsidRPr="00E80AC8" w:rsidRDefault="00B75685" w:rsidP="00C60084">
      <w:pPr>
        <w:spacing w:after="0"/>
        <w:rPr>
          <w:rFonts w:ascii="Rockwell" w:hAnsi="Rockwell"/>
          <w:i/>
        </w:rPr>
      </w:pPr>
      <w:r w:rsidRPr="00E80AC8">
        <w:rPr>
          <w:rFonts w:ascii="Rockwell" w:hAnsi="Rockwell"/>
          <w:i/>
        </w:rPr>
        <w:t>Code of Ethics</w:t>
      </w:r>
    </w:p>
    <w:p w14:paraId="4B761D35" w14:textId="6BC415FE" w:rsidR="00B75685" w:rsidRPr="00E80AC8" w:rsidRDefault="00D5757F" w:rsidP="00E80AC8">
      <w:pPr>
        <w:pStyle w:val="ListParagraph"/>
        <w:numPr>
          <w:ilvl w:val="0"/>
          <w:numId w:val="2"/>
        </w:numPr>
        <w:spacing w:after="0"/>
        <w:rPr>
          <w:rFonts w:ascii="Rockwell" w:hAnsi="Rockwell"/>
        </w:rPr>
      </w:pPr>
      <w:r w:rsidRPr="00E80AC8">
        <w:rPr>
          <w:rFonts w:ascii="Rockwell" w:hAnsi="Rockwell"/>
        </w:rPr>
        <w:t>1.3 Recognize risk prone situations in order to minimize harm to patients, staff and self.</w:t>
      </w:r>
    </w:p>
    <w:p w14:paraId="26D5C8AF" w14:textId="5C8CAA48" w:rsidR="00D5757F" w:rsidRPr="00E80AC8" w:rsidRDefault="00D5757F" w:rsidP="00E80AC8">
      <w:pPr>
        <w:pStyle w:val="ListParagraph"/>
        <w:numPr>
          <w:ilvl w:val="0"/>
          <w:numId w:val="2"/>
        </w:numPr>
        <w:spacing w:after="0"/>
        <w:rPr>
          <w:rFonts w:ascii="Rockwell" w:hAnsi="Rockwell"/>
        </w:rPr>
      </w:pPr>
      <w:r w:rsidRPr="00E80AC8">
        <w:rPr>
          <w:rFonts w:ascii="Rockwell" w:hAnsi="Rockwell"/>
        </w:rPr>
        <w:t>1.4 Utilize professional and institutional mechanisms to intervene when witness to unsafe, incompetent or unethical practices.</w:t>
      </w:r>
    </w:p>
    <w:p w14:paraId="36FD046B" w14:textId="50F42207" w:rsidR="00D5757F" w:rsidRPr="00E80AC8" w:rsidRDefault="00D5757F" w:rsidP="00E80AC8">
      <w:pPr>
        <w:pStyle w:val="ListParagraph"/>
        <w:numPr>
          <w:ilvl w:val="0"/>
          <w:numId w:val="2"/>
        </w:numPr>
        <w:spacing w:after="0"/>
        <w:rPr>
          <w:rFonts w:ascii="Rockwell" w:hAnsi="Rockwell"/>
        </w:rPr>
      </w:pPr>
      <w:r w:rsidRPr="00E80AC8">
        <w:rPr>
          <w:rFonts w:ascii="Rockwell" w:hAnsi="Rockwell"/>
        </w:rPr>
        <w:t>1.5 Assume responsibility for errors one has committed or observed and take immediate action to prevent or minimize associated harm.</w:t>
      </w:r>
    </w:p>
    <w:p w14:paraId="75A09BBD" w14:textId="66D84F75" w:rsidR="00073FEC" w:rsidRPr="00E80AC8" w:rsidRDefault="00D5757F" w:rsidP="00E80AC8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E80AC8">
        <w:rPr>
          <w:rFonts w:ascii="Rockwell" w:hAnsi="Rockwell"/>
        </w:rPr>
        <w:t>4.1 Be responsible first to the patient, then to society and the environment for safe and lawful practice and the sustainable use of resources</w:t>
      </w:r>
      <w:r w:rsidR="00B75685" w:rsidRPr="00E80AC8">
        <w:rPr>
          <w:rFonts w:ascii="Rockwell" w:hAnsi="Rockwell"/>
        </w:rPr>
        <w:t>.</w:t>
      </w:r>
      <w:r w:rsidR="00190424" w:rsidRPr="00E80AC8">
        <w:rPr>
          <w:rFonts w:ascii="Rockwell" w:hAnsi="Rockwell"/>
        </w:rPr>
        <w:t xml:space="preserve"> </w:t>
      </w:r>
    </w:p>
    <w:p w14:paraId="31C33067" w14:textId="2D222248" w:rsidR="00B75685" w:rsidRPr="00E80AC8" w:rsidRDefault="00B75685" w:rsidP="00E80AC8">
      <w:pPr>
        <w:spacing w:after="0"/>
        <w:rPr>
          <w:rFonts w:ascii="Rockwell" w:hAnsi="Rockwell"/>
          <w:i/>
        </w:rPr>
      </w:pPr>
      <w:r w:rsidRPr="00E80AC8">
        <w:rPr>
          <w:rFonts w:ascii="Rockwell" w:hAnsi="Rockwell"/>
          <w:i/>
        </w:rPr>
        <w:t>Code of Professional Conduct</w:t>
      </w:r>
    </w:p>
    <w:p w14:paraId="7E2E04FF" w14:textId="136D2A1A" w:rsidR="00B75685" w:rsidRPr="00E80AC8" w:rsidRDefault="00B75685" w:rsidP="00E80AC8">
      <w:pPr>
        <w:pStyle w:val="ListParagraph"/>
        <w:numPr>
          <w:ilvl w:val="0"/>
          <w:numId w:val="4"/>
        </w:numPr>
        <w:spacing w:after="0"/>
        <w:rPr>
          <w:rFonts w:ascii="Rockwell" w:hAnsi="Rockwell"/>
        </w:rPr>
      </w:pPr>
      <w:r w:rsidRPr="00E80AC8">
        <w:rPr>
          <w:rFonts w:ascii="Rockwell" w:hAnsi="Rockwell"/>
        </w:rPr>
        <w:t>Medical laboratory professionals shall take responsibility for their professional acts.</w:t>
      </w:r>
    </w:p>
    <w:p w14:paraId="5DF4DED1" w14:textId="2AF93D2F" w:rsidR="00D5757F" w:rsidRPr="00E80AC8" w:rsidRDefault="00D5757F" w:rsidP="00E80AC8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E80AC8">
        <w:rPr>
          <w:rFonts w:ascii="Rockwell" w:hAnsi="Rockwell"/>
        </w:rPr>
        <w:t>Medical laboratory professionals shall practise safe work procedures at all times to ensure the safety of patients and co-workers and the protection of the environment</w:t>
      </w:r>
      <w:r w:rsidR="00E80AC8">
        <w:rPr>
          <w:rFonts w:ascii="Rockwell" w:hAnsi="Rockwell"/>
        </w:rPr>
        <w:t>.</w:t>
      </w:r>
    </w:p>
    <w:p w14:paraId="2D83865D" w14:textId="29EFFB34" w:rsidR="00073FEC" w:rsidRDefault="00073FEC" w:rsidP="00073FEC">
      <w:pPr>
        <w:rPr>
          <w:b/>
        </w:rPr>
      </w:pPr>
      <w:r>
        <w:rPr>
          <w:b/>
        </w:rPr>
        <w:t>Relevant</w:t>
      </w:r>
      <w:r w:rsidRPr="008004FE">
        <w:rPr>
          <w:b/>
        </w:rPr>
        <w:t xml:space="preserve"> Article</w:t>
      </w:r>
      <w:r w:rsidR="000A4A49">
        <w:rPr>
          <w:b/>
        </w:rPr>
        <w:t>s</w:t>
      </w:r>
    </w:p>
    <w:p w14:paraId="32614484" w14:textId="3E243B1E" w:rsidR="00EF2F69" w:rsidRPr="009079E7" w:rsidRDefault="00684019" w:rsidP="009079E7">
      <w:pPr>
        <w:spacing w:after="0"/>
        <w:rPr>
          <w:rFonts w:ascii="Rockwell" w:hAnsi="Rockwell"/>
        </w:rPr>
      </w:pPr>
      <w:hyperlink r:id="rId11" w:history="1">
        <w:r w:rsidR="00EF2F69" w:rsidRPr="009079E7">
          <w:rPr>
            <w:rStyle w:val="Hyperlink"/>
            <w:rFonts w:ascii="Rockwell" w:hAnsi="Rockwell"/>
          </w:rPr>
          <w:t>Workers may have been exposed to Ebola, HIV and TB at Winnipeg lab, reports reveal</w:t>
        </w:r>
      </w:hyperlink>
    </w:p>
    <w:p w14:paraId="43EF6B79" w14:textId="567CC102" w:rsidR="00D5757F" w:rsidRPr="009079E7" w:rsidRDefault="00684019" w:rsidP="009079E7">
      <w:pPr>
        <w:spacing w:after="0"/>
        <w:rPr>
          <w:rStyle w:val="Hyperlink"/>
          <w:rFonts w:ascii="Rockwell" w:hAnsi="Rockwell"/>
        </w:rPr>
      </w:pPr>
      <w:hyperlink r:id="rId12" w:history="1">
        <w:r w:rsidR="00D5757F" w:rsidRPr="009079E7">
          <w:rPr>
            <w:rStyle w:val="Hyperlink"/>
            <w:rFonts w:ascii="Rockwell" w:hAnsi="Rockwell"/>
          </w:rPr>
          <w:t>New developments in case of nurse who allegedly exposed patients to hepatitis C</w:t>
        </w:r>
      </w:hyperlink>
    </w:p>
    <w:p w14:paraId="412C3566" w14:textId="76C95711" w:rsidR="00D5757F" w:rsidRPr="00D5757F" w:rsidRDefault="00684019" w:rsidP="009079E7">
      <w:pPr>
        <w:spacing w:after="0"/>
      </w:pPr>
      <w:hyperlink r:id="rId13" w:history="1">
        <w:r w:rsidR="009079E7" w:rsidRPr="009079E7">
          <w:rPr>
            <w:rStyle w:val="Hyperlink"/>
            <w:rFonts w:ascii="Rockwell" w:hAnsi="Rockwell"/>
            <w:shd w:val="clear" w:color="auto" w:fill="FFFFFF"/>
          </w:rPr>
          <w:t>My medical outlook changed after I jabbed my finger with a needle</w:t>
        </w:r>
      </w:hyperlink>
    </w:p>
    <w:sectPr w:rsidR="00D5757F" w:rsidRPr="00D5757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5469" w14:textId="77777777" w:rsidR="00684019" w:rsidRDefault="00684019" w:rsidP="00073FEC">
      <w:pPr>
        <w:spacing w:after="0" w:line="240" w:lineRule="auto"/>
      </w:pPr>
      <w:r>
        <w:separator/>
      </w:r>
    </w:p>
  </w:endnote>
  <w:endnote w:type="continuationSeparator" w:id="0">
    <w:p w14:paraId="7ABDCE7C" w14:textId="77777777" w:rsidR="00684019" w:rsidRDefault="00684019" w:rsidP="0007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C6BD" w14:textId="77777777" w:rsidR="00073FEC" w:rsidRPr="006E1029" w:rsidRDefault="00073FEC" w:rsidP="00073FEC">
    <w:pPr>
      <w:pStyle w:val="ListParagraph"/>
      <w:jc w:val="center"/>
      <w:rPr>
        <w:rFonts w:ascii="Rockwell" w:hAnsi="Rockwell"/>
        <w:sz w:val="18"/>
        <w:szCs w:val="18"/>
      </w:rPr>
    </w:pPr>
    <w:r w:rsidRPr="006E1029">
      <w:rPr>
        <w:rFonts w:ascii="Rockwell" w:hAnsi="Rockwell"/>
        <w:sz w:val="18"/>
        <w:szCs w:val="18"/>
      </w:rPr>
      <w:t xml:space="preserve">Take the </w:t>
    </w:r>
    <w:hyperlink r:id="rId1" w:history="1">
      <w:r w:rsidRPr="006E1029">
        <w:rPr>
          <w:rStyle w:val="Hyperlink"/>
          <w:rFonts w:ascii="Rockwell" w:hAnsi="Rockwell"/>
          <w:sz w:val="18"/>
          <w:szCs w:val="18"/>
        </w:rPr>
        <w:t>free CSMLS Code of Ethics course</w:t>
      </w:r>
    </w:hyperlink>
    <w:r w:rsidRPr="006E1029">
      <w:rPr>
        <w:rFonts w:ascii="Rockwell" w:hAnsi="Rockwell"/>
        <w:sz w:val="18"/>
        <w:szCs w:val="18"/>
      </w:rPr>
      <w:t xml:space="preserve"> today!</w:t>
    </w:r>
  </w:p>
  <w:p w14:paraId="47771FE0" w14:textId="77777777" w:rsidR="00073FEC" w:rsidRDefault="00073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0890E" w14:textId="77777777" w:rsidR="00684019" w:rsidRDefault="00684019" w:rsidP="00073FEC">
      <w:pPr>
        <w:spacing w:after="0" w:line="240" w:lineRule="auto"/>
      </w:pPr>
      <w:r>
        <w:separator/>
      </w:r>
    </w:p>
  </w:footnote>
  <w:footnote w:type="continuationSeparator" w:id="0">
    <w:p w14:paraId="72B9152A" w14:textId="77777777" w:rsidR="00684019" w:rsidRDefault="00684019" w:rsidP="0007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9D48" w14:textId="68B79D1B" w:rsidR="00073FEC" w:rsidRDefault="00073FEC" w:rsidP="00073FEC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7130187" wp14:editId="5F2E8763">
          <wp:extent cx="2752725" cy="77192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l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691" cy="780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580B"/>
    <w:multiLevelType w:val="hybridMultilevel"/>
    <w:tmpl w:val="E5B60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0037D"/>
    <w:multiLevelType w:val="hybridMultilevel"/>
    <w:tmpl w:val="261C4DC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D7ECC"/>
    <w:multiLevelType w:val="hybridMultilevel"/>
    <w:tmpl w:val="37063D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35A97"/>
    <w:multiLevelType w:val="hybridMultilevel"/>
    <w:tmpl w:val="2ABA753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KxNDM2sDQxNDIwNDZV0lEKTi0uzszPAykwqgUAt0eH5CwAAAA="/>
  </w:docVars>
  <w:rsids>
    <w:rsidRoot w:val="00073FEC"/>
    <w:rsid w:val="00034D2D"/>
    <w:rsid w:val="00073FEC"/>
    <w:rsid w:val="000A4A49"/>
    <w:rsid w:val="00136854"/>
    <w:rsid w:val="001516D8"/>
    <w:rsid w:val="00161D4D"/>
    <w:rsid w:val="00190424"/>
    <w:rsid w:val="003D7D68"/>
    <w:rsid w:val="00421C04"/>
    <w:rsid w:val="004453F6"/>
    <w:rsid w:val="004646B0"/>
    <w:rsid w:val="004B5C44"/>
    <w:rsid w:val="005260D1"/>
    <w:rsid w:val="00650EBE"/>
    <w:rsid w:val="00674271"/>
    <w:rsid w:val="00684019"/>
    <w:rsid w:val="007A51EA"/>
    <w:rsid w:val="009079E7"/>
    <w:rsid w:val="009643F7"/>
    <w:rsid w:val="009A3B67"/>
    <w:rsid w:val="00A053C0"/>
    <w:rsid w:val="00AA717F"/>
    <w:rsid w:val="00B75685"/>
    <w:rsid w:val="00C60084"/>
    <w:rsid w:val="00C71836"/>
    <w:rsid w:val="00D5757F"/>
    <w:rsid w:val="00D60761"/>
    <w:rsid w:val="00DA3897"/>
    <w:rsid w:val="00E24F49"/>
    <w:rsid w:val="00E7367A"/>
    <w:rsid w:val="00E80AC8"/>
    <w:rsid w:val="00EE61E2"/>
    <w:rsid w:val="00E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CC81"/>
  <w15:docId w15:val="{3089FF23-08B7-4BEC-8715-01ADF807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FEC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E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7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EC"/>
    <w:rPr>
      <w:lang w:val="en-CA"/>
    </w:rPr>
  </w:style>
  <w:style w:type="paragraph" w:styleId="ListParagraph">
    <w:name w:val="List Paragraph"/>
    <w:basedOn w:val="Normal"/>
    <w:uiPriority w:val="34"/>
    <w:qFormat/>
    <w:rsid w:val="00073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F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3F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F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90424"/>
    <w:rPr>
      <w:color w:val="954F72" w:themeColor="followedHyperlink"/>
      <w:u w:val="single"/>
    </w:rPr>
  </w:style>
  <w:style w:type="paragraph" w:customStyle="1" w:styleId="CSMLS-Heading">
    <w:name w:val="CSMLS-Heading"/>
    <w:link w:val="CSMLS-HeadingChar"/>
    <w:qFormat/>
    <w:rsid w:val="00EF2F69"/>
    <w:pPr>
      <w:keepLines/>
      <w:suppressAutoHyphens/>
      <w:spacing w:before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character" w:customStyle="1" w:styleId="CSMLS-HeadingChar">
    <w:name w:val="CSMLS-Heading Char"/>
    <w:link w:val="CSMLS-Heading"/>
    <w:rsid w:val="00EF2F69"/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D1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catharinesstandard.ca/news-story/9230279-contaminated-needle-used-to-draw-blood-from-child-at-st-catharines-hospital/" TargetMode="External"/><Relationship Id="rId13" Type="http://schemas.openxmlformats.org/officeDocument/2006/relationships/hyperlink" Target="https://www.theguardian.com/healthcare-network/2017/sep/07/medical-outlook-changed-jabbed-finger-need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ahoo.com/lifestyle/hospital-sued-nurse-allegedly-exposed-patients-hepatitis-c-171411119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c.ca/news/canada/manitoba/iteam/microbiology-lab-winnipeg-ebola-hiv-tb-1.39625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smls.org/About-Us/Our-Members/Code-of-Conduc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mls.org/About-Us/Our-Members/Code-of-Ethics.asp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.csmls.org/topclass/login.do?redirectTo=%2Fexpand.do%3Ftemplate%3DCatalogBrowse%26catId%3D1394%26CatalogBrowse%26catId%3D1394%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A9F0ABC0-980E-44E9-9AE7-6822A9B1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Mantifel, Lisa</dc:creator>
  <cp:lastModifiedBy>Laura Zychla</cp:lastModifiedBy>
  <cp:revision>2</cp:revision>
  <dcterms:created xsi:type="dcterms:W3CDTF">2019-05-22T12:50:00Z</dcterms:created>
  <dcterms:modified xsi:type="dcterms:W3CDTF">2019-05-22T12:50:00Z</dcterms:modified>
</cp:coreProperties>
</file>