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F5429" w14:textId="41000063" w:rsidR="00073FEC" w:rsidRPr="006B5A22" w:rsidRDefault="00073FEC" w:rsidP="00073FEC">
      <w:pPr>
        <w:jc w:val="center"/>
        <w:rPr>
          <w:lang w:val="fr-CA"/>
        </w:rPr>
      </w:pPr>
      <w:bookmarkStart w:id="0" w:name="_GoBack"/>
      <w:bookmarkEnd w:id="0"/>
    </w:p>
    <w:p w14:paraId="3ECE64E3" w14:textId="1CB4A1EB" w:rsidR="00EF2F69" w:rsidRPr="006B5A22" w:rsidRDefault="004C732D" w:rsidP="001B254C">
      <w:pPr>
        <w:pStyle w:val="CSMLS-Heading"/>
        <w:spacing w:before="100" w:after="100"/>
        <w:rPr>
          <w:lang w:val="fr-CA"/>
        </w:rPr>
      </w:pPr>
      <w:r w:rsidRPr="006B5A22">
        <w:rPr>
          <w:lang w:val="fr-CA"/>
        </w:rPr>
        <w:t>L’éthique à la carte</w:t>
      </w:r>
      <w:r w:rsidR="00EF2F69" w:rsidRPr="006B5A22">
        <w:rPr>
          <w:lang w:val="fr-CA"/>
        </w:rPr>
        <w:t xml:space="preserve"> – </w:t>
      </w:r>
      <w:r w:rsidRPr="006B5A22">
        <w:rPr>
          <w:lang w:val="fr-CA"/>
        </w:rPr>
        <w:t>Divulgation d'actes répréhensibles</w:t>
      </w:r>
    </w:p>
    <w:p w14:paraId="38A3B229" w14:textId="77777777" w:rsidR="00EF2F69" w:rsidRPr="006B5A22" w:rsidRDefault="00EF2F69" w:rsidP="00B75685">
      <w:pPr>
        <w:spacing w:after="0"/>
        <w:rPr>
          <w:rFonts w:ascii="Century Gothic" w:hAnsi="Century Gothic"/>
          <w:b/>
          <w:sz w:val="20"/>
          <w:szCs w:val="20"/>
          <w:lang w:val="fr-CA"/>
        </w:rPr>
      </w:pPr>
    </w:p>
    <w:p w14:paraId="6AA110BC" w14:textId="191C9372" w:rsidR="00073FEC" w:rsidRPr="006B5A22" w:rsidRDefault="00073FEC" w:rsidP="00B75685">
      <w:pPr>
        <w:spacing w:after="0"/>
        <w:rPr>
          <w:rFonts w:ascii="Century Gothic" w:hAnsi="Century Gothic"/>
          <w:b/>
          <w:sz w:val="20"/>
          <w:szCs w:val="20"/>
          <w:lang w:val="fr-CA"/>
        </w:rPr>
      </w:pPr>
      <w:r w:rsidRPr="006B5A22">
        <w:rPr>
          <w:rFonts w:ascii="Century Gothic" w:hAnsi="Century Gothic"/>
          <w:b/>
          <w:sz w:val="20"/>
          <w:szCs w:val="20"/>
          <w:lang w:val="fr-CA"/>
        </w:rPr>
        <w:t>Article</w:t>
      </w:r>
      <w:r w:rsidR="006B5A22">
        <w:rPr>
          <w:rFonts w:ascii="Century Gothic" w:hAnsi="Century Gothic"/>
          <w:b/>
          <w:sz w:val="20"/>
          <w:szCs w:val="20"/>
          <w:lang w:val="fr-CA"/>
        </w:rPr>
        <w:t> :</w:t>
      </w:r>
      <w:r w:rsidRPr="006B5A22">
        <w:rPr>
          <w:rFonts w:ascii="Century Gothic" w:hAnsi="Century Gothic"/>
          <w:b/>
          <w:sz w:val="20"/>
          <w:szCs w:val="20"/>
          <w:lang w:val="fr-CA"/>
        </w:rPr>
        <w:t xml:space="preserve"> </w:t>
      </w:r>
      <w:r w:rsidR="00800047">
        <w:fldChar w:fldCharType="begin"/>
      </w:r>
      <w:r w:rsidR="00800047" w:rsidRPr="00260BE5">
        <w:rPr>
          <w:lang w:val="fr-CA"/>
        </w:rPr>
        <w:instrText xml:space="preserve"> HYPERLINK "https://ici.radio-canada.ca/nouvelle/1106821/tests-adn-chiens-viaguard-ascendance-autochtone?depuisRecherche=true" </w:instrText>
      </w:r>
      <w:r w:rsidR="00800047">
        <w:fldChar w:fldCharType="separate"/>
      </w:r>
      <w:r w:rsidR="006B5A22">
        <w:rPr>
          <w:rStyle w:val="Hyperlink"/>
          <w:lang w:val="fr-CA"/>
        </w:rPr>
        <w:t>De l'ADN canin aide à révéler une possible fraude du statut d'Indien</w:t>
      </w:r>
      <w:r w:rsidR="00800047">
        <w:rPr>
          <w:rStyle w:val="Hyperlink"/>
          <w:lang w:val="fr-CA"/>
        </w:rPr>
        <w:fldChar w:fldCharType="end"/>
      </w:r>
    </w:p>
    <w:p w14:paraId="400BF24F" w14:textId="63A0F539" w:rsidR="00073FEC" w:rsidRPr="006B5A22" w:rsidRDefault="006B5A22" w:rsidP="00EF2F69">
      <w:pPr>
        <w:spacing w:before="120"/>
        <w:rPr>
          <w:rFonts w:ascii="Century Gothic" w:hAnsi="Century Gothic"/>
          <w:b/>
          <w:sz w:val="20"/>
          <w:szCs w:val="20"/>
          <w:lang w:val="fr-CA"/>
        </w:rPr>
      </w:pPr>
      <w:r w:rsidRPr="003558E1">
        <w:rPr>
          <w:rStyle w:val="Strong"/>
          <w:lang w:val="fr-CA"/>
        </w:rPr>
        <w:t>Quelle a été la situation?</w:t>
      </w:r>
    </w:p>
    <w:p w14:paraId="75CCFC58" w14:textId="5EBDED88" w:rsidR="0033252B" w:rsidRDefault="0001481A" w:rsidP="0001481A">
      <w:pPr>
        <w:rPr>
          <w:rFonts w:ascii="Rockwell" w:hAnsi="Rockwell"/>
          <w:lang w:val="fr-CA"/>
        </w:rPr>
      </w:pPr>
      <w:r w:rsidRPr="006B5A22">
        <w:rPr>
          <w:rFonts w:ascii="Rockwell" w:hAnsi="Rockwell"/>
          <w:lang w:val="fr-CA"/>
        </w:rPr>
        <w:t xml:space="preserve">Louis Côté </w:t>
      </w:r>
      <w:r w:rsidR="00821B57">
        <w:rPr>
          <w:rFonts w:ascii="Rockwell" w:hAnsi="Rockwell"/>
          <w:lang w:val="fr-CA"/>
        </w:rPr>
        <w:t>se</w:t>
      </w:r>
      <w:r w:rsidR="0033252B">
        <w:rPr>
          <w:rFonts w:ascii="Rockwell" w:hAnsi="Rockwell"/>
          <w:lang w:val="fr-CA"/>
        </w:rPr>
        <w:t xml:space="preserve"> méfi</w:t>
      </w:r>
      <w:r w:rsidR="00821B57">
        <w:rPr>
          <w:rFonts w:ascii="Rockwell" w:hAnsi="Rockwell"/>
          <w:lang w:val="fr-CA"/>
        </w:rPr>
        <w:t>ait</w:t>
      </w:r>
      <w:r w:rsidR="0033252B">
        <w:rPr>
          <w:rFonts w:ascii="Rockwell" w:hAnsi="Rockwell"/>
          <w:lang w:val="fr-CA"/>
        </w:rPr>
        <w:t xml:space="preserve"> des trousses de</w:t>
      </w:r>
      <w:r w:rsidRPr="006B5A22">
        <w:rPr>
          <w:rFonts w:ascii="Rockwell" w:hAnsi="Rockwell"/>
          <w:lang w:val="fr-CA"/>
        </w:rPr>
        <w:t xml:space="preserve"> </w:t>
      </w:r>
      <w:proofErr w:type="spellStart"/>
      <w:r w:rsidR="00474094" w:rsidRPr="006B5A22">
        <w:rPr>
          <w:rFonts w:ascii="Rockwell" w:hAnsi="Rockwell"/>
          <w:lang w:val="fr-CA"/>
        </w:rPr>
        <w:t>Viaguard</w:t>
      </w:r>
      <w:proofErr w:type="spellEnd"/>
      <w:r w:rsidR="00474094" w:rsidRPr="006B5A22">
        <w:rPr>
          <w:rFonts w:ascii="Rockwell" w:hAnsi="Rockwell"/>
          <w:lang w:val="fr-CA"/>
        </w:rPr>
        <w:t xml:space="preserve"> Accu-</w:t>
      </w:r>
      <w:proofErr w:type="spellStart"/>
      <w:r w:rsidR="00474094" w:rsidRPr="006B5A22">
        <w:rPr>
          <w:rFonts w:ascii="Rockwell" w:hAnsi="Rockwell"/>
          <w:lang w:val="fr-CA"/>
        </w:rPr>
        <w:t>Metrics</w:t>
      </w:r>
      <w:proofErr w:type="spellEnd"/>
      <w:r w:rsidR="00474094" w:rsidRPr="006B5A22">
        <w:rPr>
          <w:rFonts w:ascii="Rockwell" w:hAnsi="Rockwell"/>
          <w:lang w:val="fr-CA"/>
        </w:rPr>
        <w:t xml:space="preserve"> </w:t>
      </w:r>
      <w:r w:rsidR="00AB15A0">
        <w:rPr>
          <w:rFonts w:ascii="Rockwell" w:hAnsi="Rockwell"/>
          <w:lang w:val="fr-CA"/>
        </w:rPr>
        <w:t>conçues pour</w:t>
      </w:r>
      <w:r w:rsidR="0033252B">
        <w:rPr>
          <w:rFonts w:ascii="Rockwell" w:hAnsi="Rockwell"/>
          <w:lang w:val="fr-CA"/>
        </w:rPr>
        <w:t xml:space="preserve"> analyser l’ADN humain </w:t>
      </w:r>
      <w:r w:rsidR="00AB15A0">
        <w:rPr>
          <w:rFonts w:ascii="Rockwell" w:hAnsi="Rockwell"/>
          <w:lang w:val="fr-CA"/>
        </w:rPr>
        <w:t>afin de</w:t>
      </w:r>
      <w:r w:rsidR="0033252B">
        <w:rPr>
          <w:rFonts w:ascii="Rockwell" w:hAnsi="Rockwell"/>
          <w:lang w:val="fr-CA"/>
        </w:rPr>
        <w:t xml:space="preserve"> déterminer </w:t>
      </w:r>
      <w:r w:rsidR="00821B57">
        <w:rPr>
          <w:rFonts w:ascii="Rockwell" w:hAnsi="Rockwell"/>
          <w:lang w:val="fr-CA"/>
        </w:rPr>
        <w:t>l’origine ancestrale</w:t>
      </w:r>
      <w:r w:rsidR="0033252B">
        <w:rPr>
          <w:rFonts w:ascii="Rockwell" w:hAnsi="Rockwell"/>
          <w:lang w:val="fr-CA"/>
        </w:rPr>
        <w:t>. Il a donc décidé de mettre ce processus à l’épreuve en soumettant son propre échantillon ai</w:t>
      </w:r>
      <w:r w:rsidR="00AB15A0">
        <w:rPr>
          <w:rFonts w:ascii="Rockwell" w:hAnsi="Rockwell"/>
          <w:lang w:val="fr-CA"/>
        </w:rPr>
        <w:t>nsi que celui d’un chien</w:t>
      </w:r>
      <w:r w:rsidR="0033252B">
        <w:rPr>
          <w:rFonts w:ascii="Rockwell" w:hAnsi="Rockwell"/>
          <w:lang w:val="fr-CA"/>
        </w:rPr>
        <w:t>. Les résultats des deux tests ont été identiques. M. Côté et Snoopy (le chien) étaient 20 pour cent</w:t>
      </w:r>
      <w:r w:rsidR="00AB15A0">
        <w:rPr>
          <w:rFonts w:ascii="Rockwell" w:hAnsi="Rockwell"/>
          <w:lang w:val="fr-CA"/>
        </w:rPr>
        <w:t xml:space="preserve"> d’origine autochtone nord-américaine. M. Côté a divulgué les résultats à</w:t>
      </w:r>
      <w:r w:rsidR="00B341E0">
        <w:rPr>
          <w:rFonts w:ascii="Rockwell" w:hAnsi="Rockwell"/>
          <w:lang w:val="fr-CA"/>
        </w:rPr>
        <w:t xml:space="preserve"> la Société</w:t>
      </w:r>
      <w:r w:rsidR="00AB15A0">
        <w:rPr>
          <w:rFonts w:ascii="Rockwell" w:hAnsi="Rockwell"/>
          <w:lang w:val="fr-CA"/>
        </w:rPr>
        <w:t xml:space="preserve"> Radio-Canada</w:t>
      </w:r>
      <w:r w:rsidR="00B341E0">
        <w:rPr>
          <w:rFonts w:ascii="Rockwell" w:hAnsi="Rockwell"/>
          <w:lang w:val="fr-CA"/>
        </w:rPr>
        <w:t xml:space="preserve"> (SRC)</w:t>
      </w:r>
      <w:r w:rsidR="00AB15A0">
        <w:rPr>
          <w:rFonts w:ascii="Rockwell" w:hAnsi="Rockwell"/>
          <w:lang w:val="fr-CA"/>
        </w:rPr>
        <w:t xml:space="preserve">, un acte de dénonciation après avoir essayé sans succès de trouver une solution. </w:t>
      </w:r>
      <w:r w:rsidR="00B341E0">
        <w:rPr>
          <w:rFonts w:ascii="Rockwell" w:hAnsi="Rockwell"/>
          <w:lang w:val="fr-CA"/>
        </w:rPr>
        <w:t xml:space="preserve">Pour approfondir l’enquête, la SRC a commandé les mêmes trousses d’ADN, ainsi qu’une trousse d’une deuxième entreprise. On a obtenu des frottis de trois employés de la salle de rédaction (sans ascendance autochtone connue). </w:t>
      </w:r>
      <w:proofErr w:type="spellStart"/>
      <w:r w:rsidR="00B341E0">
        <w:rPr>
          <w:rFonts w:ascii="Rockwell" w:hAnsi="Rockwell"/>
          <w:lang w:val="fr-CA"/>
        </w:rPr>
        <w:t>Viaguard</w:t>
      </w:r>
      <w:proofErr w:type="spellEnd"/>
      <w:r w:rsidR="00B341E0">
        <w:rPr>
          <w:rFonts w:ascii="Rockwell" w:hAnsi="Rockwell"/>
          <w:lang w:val="fr-CA"/>
        </w:rPr>
        <w:t xml:space="preserve"> a retourné les résultats indiquant que tous les trois employés de la SRC avaient 20 pour cent d’ADN autochtone nord-américain</w:t>
      </w:r>
      <w:r w:rsidR="001B1A0F">
        <w:rPr>
          <w:rFonts w:ascii="Rockwell" w:hAnsi="Rockwell"/>
          <w:lang w:val="fr-CA"/>
        </w:rPr>
        <w:t xml:space="preserve">, exactement les mêmes détails reçus par M. Côté. La deuxième entreprise a déterminé </w:t>
      </w:r>
      <w:r w:rsidR="00821B57">
        <w:rPr>
          <w:rFonts w:ascii="Rockwell" w:hAnsi="Rockwell"/>
          <w:lang w:val="fr-CA"/>
        </w:rPr>
        <w:t>qu’</w:t>
      </w:r>
      <w:r w:rsidR="001B1A0F">
        <w:rPr>
          <w:rFonts w:ascii="Rockwell" w:hAnsi="Rockwell"/>
          <w:lang w:val="fr-CA"/>
        </w:rPr>
        <w:t xml:space="preserve">aucun des employés de la SRC </w:t>
      </w:r>
      <w:r w:rsidR="00821B57">
        <w:rPr>
          <w:rFonts w:ascii="Rockwell" w:hAnsi="Rockwell"/>
          <w:lang w:val="fr-CA"/>
        </w:rPr>
        <w:t xml:space="preserve">n’était </w:t>
      </w:r>
      <w:r w:rsidR="001B1A0F">
        <w:rPr>
          <w:rFonts w:ascii="Rockwell" w:hAnsi="Rockwell"/>
          <w:lang w:val="fr-CA"/>
        </w:rPr>
        <w:t>d’origine</w:t>
      </w:r>
      <w:r w:rsidR="001B1A0F" w:rsidRPr="001B1A0F">
        <w:rPr>
          <w:rFonts w:ascii="Rockwell" w:hAnsi="Rockwell"/>
          <w:lang w:val="fr-CA"/>
        </w:rPr>
        <w:t xml:space="preserve"> </w:t>
      </w:r>
      <w:r w:rsidR="001B1A0F">
        <w:rPr>
          <w:rFonts w:ascii="Rockwell" w:hAnsi="Rockwell"/>
          <w:lang w:val="fr-CA"/>
        </w:rPr>
        <w:t xml:space="preserve">autochtone nord-américaine. Harvey </w:t>
      </w:r>
      <w:proofErr w:type="spellStart"/>
      <w:r w:rsidR="001B1A0F">
        <w:rPr>
          <w:rFonts w:ascii="Rockwell" w:hAnsi="Rockwell"/>
          <w:lang w:val="fr-CA"/>
        </w:rPr>
        <w:t>Tenenbaum</w:t>
      </w:r>
      <w:proofErr w:type="spellEnd"/>
      <w:r w:rsidR="001B1A0F">
        <w:rPr>
          <w:rFonts w:ascii="Rockwell" w:hAnsi="Rockwell"/>
          <w:lang w:val="fr-CA"/>
        </w:rPr>
        <w:t xml:space="preserve">, le propriétaire de </w:t>
      </w:r>
      <w:proofErr w:type="spellStart"/>
      <w:r w:rsidR="001B1A0F">
        <w:rPr>
          <w:rFonts w:ascii="Rockwell" w:hAnsi="Rockwell"/>
          <w:lang w:val="fr-CA"/>
        </w:rPr>
        <w:t>Viaguard</w:t>
      </w:r>
      <w:proofErr w:type="spellEnd"/>
      <w:r w:rsidR="001B1A0F">
        <w:rPr>
          <w:rFonts w:ascii="Rockwell" w:hAnsi="Rockwell"/>
          <w:lang w:val="fr-CA"/>
        </w:rPr>
        <w:t xml:space="preserve"> et directeur de la recherche, a refusé</w:t>
      </w:r>
      <w:r w:rsidR="00AD3D71">
        <w:rPr>
          <w:rFonts w:ascii="Rockwell" w:hAnsi="Rockwell"/>
          <w:lang w:val="fr-CA"/>
        </w:rPr>
        <w:t xml:space="preserve"> de nombreuses demandes d’entrevue </w:t>
      </w:r>
      <w:r w:rsidR="00821B57">
        <w:rPr>
          <w:rFonts w:ascii="Rockwell" w:hAnsi="Rockwell"/>
          <w:lang w:val="fr-CA"/>
        </w:rPr>
        <w:t>de</w:t>
      </w:r>
      <w:r w:rsidR="00AD3D71">
        <w:rPr>
          <w:rFonts w:ascii="Rockwell" w:hAnsi="Rockwell"/>
          <w:lang w:val="fr-CA"/>
        </w:rPr>
        <w:t xml:space="preserve"> la SRC.</w:t>
      </w:r>
    </w:p>
    <w:p w14:paraId="46C00C3E" w14:textId="1BC4715A" w:rsidR="00073FEC" w:rsidRPr="006B5A22" w:rsidRDefault="00AD3D71" w:rsidP="00EF2F69">
      <w:pPr>
        <w:rPr>
          <w:rFonts w:ascii="Century Gothic" w:hAnsi="Century Gothic"/>
          <w:sz w:val="20"/>
          <w:szCs w:val="20"/>
          <w:lang w:val="fr-CA"/>
        </w:rPr>
      </w:pPr>
      <w:r w:rsidRPr="00AD3D71">
        <w:rPr>
          <w:rFonts w:ascii="Century Gothic" w:hAnsi="Century Gothic"/>
          <w:b/>
          <w:sz w:val="20"/>
          <w:szCs w:val="20"/>
          <w:lang w:val="fr-CA"/>
        </w:rPr>
        <w:t>Qu’est-ce qui a mal tourné?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006"/>
        <w:gridCol w:w="3117"/>
      </w:tblGrid>
      <w:tr w:rsidR="00634D1C" w:rsidRPr="00260BE5" w14:paraId="6AEF12C5" w14:textId="77777777" w:rsidTr="00AD3D71">
        <w:tc>
          <w:tcPr>
            <w:tcW w:w="3227" w:type="dxa"/>
          </w:tcPr>
          <w:p w14:paraId="00CA0CA3" w14:textId="13790B89" w:rsidR="00634D1C" w:rsidRPr="006B5A22" w:rsidRDefault="00AD3D71" w:rsidP="00634D1C">
            <w:pPr>
              <w:jc w:val="center"/>
              <w:rPr>
                <w:rFonts w:ascii="Rockwell" w:hAnsi="Rockwell"/>
                <w:lang w:val="fr-CA"/>
              </w:rPr>
            </w:pPr>
            <w:r>
              <w:rPr>
                <w:rFonts w:ascii="Rockwell" w:hAnsi="Rockwell"/>
                <w:lang w:val="fr-CA"/>
              </w:rPr>
              <w:t>Manque de responsabilité professionnelle de divulguer</w:t>
            </w:r>
          </w:p>
        </w:tc>
        <w:tc>
          <w:tcPr>
            <w:tcW w:w="3006" w:type="dxa"/>
          </w:tcPr>
          <w:p w14:paraId="62536A8E" w14:textId="1D816F25" w:rsidR="00634D1C" w:rsidRPr="006B5A22" w:rsidRDefault="00AD3D71" w:rsidP="00634D1C">
            <w:pPr>
              <w:jc w:val="center"/>
              <w:rPr>
                <w:rFonts w:ascii="Rockwell" w:hAnsi="Rockwell"/>
                <w:lang w:val="fr-CA"/>
              </w:rPr>
            </w:pPr>
            <w:r>
              <w:rPr>
                <w:rFonts w:ascii="Rockwell" w:hAnsi="Rockwell"/>
                <w:lang w:val="fr-CA"/>
              </w:rPr>
              <w:t>Mépris de pratiques sécuritaires</w:t>
            </w:r>
          </w:p>
        </w:tc>
        <w:tc>
          <w:tcPr>
            <w:tcW w:w="3117" w:type="dxa"/>
          </w:tcPr>
          <w:p w14:paraId="352BC346" w14:textId="3596DC7E" w:rsidR="00634D1C" w:rsidRPr="006B5A22" w:rsidRDefault="00AD3D71" w:rsidP="00634D1C">
            <w:pPr>
              <w:jc w:val="center"/>
              <w:rPr>
                <w:rFonts w:ascii="Rockwell" w:hAnsi="Rockwell"/>
                <w:lang w:val="fr-CA"/>
              </w:rPr>
            </w:pPr>
            <w:r>
              <w:rPr>
                <w:rFonts w:ascii="Rockwell" w:hAnsi="Rockwell"/>
                <w:lang w:val="fr-CA"/>
              </w:rPr>
              <w:t>Manque de protection des clients</w:t>
            </w:r>
          </w:p>
        </w:tc>
      </w:tr>
    </w:tbl>
    <w:p w14:paraId="07428905" w14:textId="2BF0ED4D" w:rsidR="00073FEC" w:rsidRPr="006B5A22" w:rsidRDefault="005752C7" w:rsidP="00634D1C">
      <w:pPr>
        <w:spacing w:before="240"/>
        <w:rPr>
          <w:rFonts w:ascii="Century Gothic" w:hAnsi="Century Gothic"/>
          <w:b/>
          <w:sz w:val="20"/>
          <w:szCs w:val="20"/>
          <w:lang w:val="fr-CA"/>
        </w:rPr>
      </w:pPr>
      <w:r w:rsidRPr="005752C7">
        <w:rPr>
          <w:rFonts w:ascii="Century Gothic" w:hAnsi="Century Gothic"/>
          <w:b/>
          <w:sz w:val="20"/>
          <w:szCs w:val="20"/>
          <w:lang w:val="fr-CA"/>
        </w:rPr>
        <w:t>Utilisation du code de déontologie</w:t>
      </w:r>
    </w:p>
    <w:p w14:paraId="2D08E436" w14:textId="1FA3EA2C" w:rsidR="00190424" w:rsidRPr="005752C7" w:rsidRDefault="005752C7" w:rsidP="00190424">
      <w:pPr>
        <w:rPr>
          <w:rFonts w:ascii="Rockwell" w:hAnsi="Rockwell"/>
          <w:lang w:val="fr-CA"/>
        </w:rPr>
      </w:pPr>
      <w:r w:rsidRPr="005752C7">
        <w:rPr>
          <w:rFonts w:ascii="Rockwell" w:hAnsi="Rockwell" w:cs="Arial"/>
          <w:lang w:val="fr-CA"/>
        </w:rPr>
        <w:t xml:space="preserve">Le </w:t>
      </w:r>
      <w:hyperlink r:id="rId8" w:history="1">
        <w:r w:rsidRPr="005752C7">
          <w:rPr>
            <w:rStyle w:val="Hyperlink"/>
            <w:rFonts w:ascii="Rockwell" w:hAnsi="Rockwell" w:cs="Arial"/>
            <w:lang w:val="fr-CA"/>
          </w:rPr>
          <w:t>Code de déontologie de la SCSLM</w:t>
        </w:r>
      </w:hyperlink>
      <w:r w:rsidRPr="005752C7">
        <w:rPr>
          <w:rFonts w:ascii="Rockwell" w:hAnsi="Rockwell" w:cs="Arial"/>
          <w:color w:val="3F3F3F"/>
          <w:lang w:val="fr-CA"/>
        </w:rPr>
        <w:t xml:space="preserve"> </w:t>
      </w:r>
      <w:r w:rsidRPr="005752C7">
        <w:rPr>
          <w:rFonts w:ascii="Rockwell" w:hAnsi="Rockwell" w:cs="Arial"/>
          <w:lang w:val="fr-CA"/>
        </w:rPr>
        <w:t xml:space="preserve">vise à définir et à développer les concepts d’éthique intrinsèques contenus dans le </w:t>
      </w:r>
      <w:hyperlink r:id="rId9" w:history="1">
        <w:r w:rsidRPr="005752C7">
          <w:rPr>
            <w:rStyle w:val="Hyperlink"/>
            <w:rFonts w:ascii="Rockwell" w:hAnsi="Rockwell" w:cs="Arial"/>
            <w:lang w:val="fr-CA"/>
          </w:rPr>
          <w:t>Code de conduite professionnelle de la SCSLM</w:t>
        </w:r>
      </w:hyperlink>
      <w:r w:rsidRPr="005752C7">
        <w:rPr>
          <w:rFonts w:ascii="Rockwell" w:hAnsi="Rockwell" w:cs="Arial"/>
          <w:lang w:val="fr-CA"/>
        </w:rPr>
        <w:t>, à documenter les attentes à l’égard du comportement éthique de tous les professionnels de laboratoire médical, et à fournir un cadre lors des évaluations professionnelles et des autoévaluations personnelles. Envisagez comment adhérer à ces codes auraient pu empêcher cette situation. Quels autres codes s’y appliquent?</w:t>
      </w:r>
    </w:p>
    <w:p w14:paraId="57FC69E1" w14:textId="6E235CA7" w:rsidR="00B75685" w:rsidRPr="006B5A22" w:rsidRDefault="005752C7" w:rsidP="00C60084">
      <w:pPr>
        <w:spacing w:after="0"/>
        <w:rPr>
          <w:rFonts w:ascii="Rockwell" w:hAnsi="Rockwell"/>
          <w:i/>
          <w:lang w:val="fr-CA"/>
        </w:rPr>
      </w:pPr>
      <w:r w:rsidRPr="00B96378">
        <w:rPr>
          <w:rFonts w:ascii="Rockwell" w:hAnsi="Rockwell"/>
          <w:i/>
          <w:lang w:val="fr-CA"/>
        </w:rPr>
        <w:t xml:space="preserve">Code </w:t>
      </w:r>
      <w:r>
        <w:rPr>
          <w:rFonts w:ascii="Rockwell" w:hAnsi="Rockwell"/>
          <w:i/>
          <w:lang w:val="fr-CA"/>
        </w:rPr>
        <w:t>de déontologie</w:t>
      </w:r>
    </w:p>
    <w:p w14:paraId="26D5C8AF" w14:textId="2C5B56C5" w:rsidR="00D5757F" w:rsidRPr="006B5A22" w:rsidRDefault="00D5757F" w:rsidP="005752C7">
      <w:pPr>
        <w:pStyle w:val="ListParagraph"/>
        <w:numPr>
          <w:ilvl w:val="0"/>
          <w:numId w:val="2"/>
        </w:numPr>
        <w:spacing w:after="0"/>
        <w:rPr>
          <w:rFonts w:ascii="Rockwell" w:hAnsi="Rockwell"/>
          <w:lang w:val="fr-CA"/>
        </w:rPr>
      </w:pPr>
      <w:r w:rsidRPr="006B5A22">
        <w:rPr>
          <w:rFonts w:ascii="Rockwell" w:hAnsi="Rockwell"/>
          <w:lang w:val="fr-CA"/>
        </w:rPr>
        <w:t xml:space="preserve">1.4 </w:t>
      </w:r>
      <w:r w:rsidR="005752C7" w:rsidRPr="005752C7">
        <w:rPr>
          <w:rFonts w:ascii="Rockwell" w:hAnsi="Rockwell"/>
          <w:lang w:val="fr-CA"/>
        </w:rPr>
        <w:t>Utiliser les mécanismes professionnels et institutionnels pour intervenir lors de l'observation de pratiques non sécuritaires, incompétentes ou contraires à l'éthique.</w:t>
      </w:r>
    </w:p>
    <w:p w14:paraId="36FD046B" w14:textId="09C63B31" w:rsidR="00D5757F" w:rsidRPr="006B5A22" w:rsidRDefault="00D5757F" w:rsidP="0038457E">
      <w:pPr>
        <w:pStyle w:val="ListParagraph"/>
        <w:numPr>
          <w:ilvl w:val="0"/>
          <w:numId w:val="2"/>
        </w:numPr>
        <w:spacing w:after="0"/>
        <w:rPr>
          <w:rFonts w:ascii="Rockwell" w:hAnsi="Rockwell"/>
          <w:lang w:val="fr-CA"/>
        </w:rPr>
      </w:pPr>
      <w:r w:rsidRPr="006B5A22">
        <w:rPr>
          <w:rFonts w:ascii="Rockwell" w:hAnsi="Rockwell"/>
          <w:lang w:val="fr-CA"/>
        </w:rPr>
        <w:t xml:space="preserve">1.5 </w:t>
      </w:r>
      <w:r w:rsidR="0038457E" w:rsidRPr="0038457E">
        <w:rPr>
          <w:rFonts w:ascii="Rockwell" w:hAnsi="Rockwell"/>
          <w:lang w:val="fr-CA"/>
        </w:rPr>
        <w:t>Assumer la responsabilité des erreurs commises ou observées et prendre des mesures immédiates afin d'éviter ou de minimiser les effets nuisibles y associés.</w:t>
      </w:r>
    </w:p>
    <w:p w14:paraId="75A09BBD" w14:textId="3979392E" w:rsidR="00073FEC" w:rsidRPr="006B5A22" w:rsidRDefault="00D5757F" w:rsidP="0038457E">
      <w:pPr>
        <w:pStyle w:val="ListParagraph"/>
        <w:numPr>
          <w:ilvl w:val="0"/>
          <w:numId w:val="2"/>
        </w:numPr>
        <w:rPr>
          <w:rFonts w:ascii="Rockwell" w:hAnsi="Rockwell"/>
          <w:lang w:val="fr-CA"/>
        </w:rPr>
      </w:pPr>
      <w:r w:rsidRPr="006B5A22">
        <w:rPr>
          <w:rFonts w:ascii="Rockwell" w:hAnsi="Rockwell"/>
          <w:lang w:val="fr-CA"/>
        </w:rPr>
        <w:t xml:space="preserve">4.1 </w:t>
      </w:r>
      <w:r w:rsidR="0038457E" w:rsidRPr="0038457E">
        <w:rPr>
          <w:rFonts w:ascii="Rockwell" w:hAnsi="Rockwell"/>
          <w:lang w:val="fr-CA"/>
        </w:rPr>
        <w:t>Être responsable surtout au patient, puis à la société et à l'environnement, pour assurer l'exercice sécuritaire et légitime ainsi que la durabilité des ressources.</w:t>
      </w:r>
      <w:r w:rsidR="00190424" w:rsidRPr="006B5A22">
        <w:rPr>
          <w:rFonts w:ascii="Rockwell" w:hAnsi="Rockwell"/>
          <w:lang w:val="fr-CA"/>
        </w:rPr>
        <w:t xml:space="preserve"> </w:t>
      </w:r>
    </w:p>
    <w:p w14:paraId="6E1F13AF" w14:textId="77777777" w:rsidR="00F13041" w:rsidRDefault="00F13041">
      <w:pPr>
        <w:rPr>
          <w:rFonts w:ascii="Rockwell" w:hAnsi="Rockwell"/>
          <w:i/>
          <w:lang w:val="fr-CA"/>
        </w:rPr>
      </w:pPr>
      <w:r>
        <w:rPr>
          <w:rFonts w:ascii="Rockwell" w:hAnsi="Rockwell"/>
          <w:i/>
          <w:lang w:val="fr-CA"/>
        </w:rPr>
        <w:br w:type="page"/>
      </w:r>
    </w:p>
    <w:p w14:paraId="2DFE2C03" w14:textId="77777777" w:rsidR="00A66BDC" w:rsidRDefault="00A66BDC" w:rsidP="00E80AC8">
      <w:pPr>
        <w:spacing w:after="0"/>
        <w:rPr>
          <w:rFonts w:ascii="Rockwell" w:hAnsi="Rockwell"/>
          <w:i/>
          <w:lang w:val="fr-CA"/>
        </w:rPr>
      </w:pPr>
    </w:p>
    <w:p w14:paraId="31C33067" w14:textId="204765F4" w:rsidR="00B75685" w:rsidRPr="006B5A22" w:rsidRDefault="00152633" w:rsidP="00E80AC8">
      <w:pPr>
        <w:spacing w:after="0"/>
        <w:rPr>
          <w:rFonts w:ascii="Rockwell" w:hAnsi="Rockwell"/>
          <w:i/>
          <w:lang w:val="fr-CA"/>
        </w:rPr>
      </w:pPr>
      <w:r w:rsidRPr="00152633">
        <w:rPr>
          <w:rFonts w:ascii="Rockwell" w:hAnsi="Rockwell"/>
          <w:i/>
          <w:lang w:val="fr-CA"/>
        </w:rPr>
        <w:t>Code de conduite professionnelle</w:t>
      </w:r>
    </w:p>
    <w:p w14:paraId="7E2E04FF" w14:textId="1909BCCE" w:rsidR="00B75685" w:rsidRPr="006B5A22" w:rsidRDefault="00F13041" w:rsidP="00F13041">
      <w:pPr>
        <w:pStyle w:val="ListParagraph"/>
        <w:numPr>
          <w:ilvl w:val="0"/>
          <w:numId w:val="4"/>
        </w:numPr>
        <w:spacing w:after="0"/>
        <w:rPr>
          <w:rFonts w:ascii="Rockwell" w:hAnsi="Rockwell"/>
          <w:lang w:val="fr-CA"/>
        </w:rPr>
      </w:pPr>
      <w:r w:rsidRPr="00F13041">
        <w:rPr>
          <w:rFonts w:ascii="Rockwell" w:hAnsi="Rockwell"/>
          <w:lang w:val="fr-CA"/>
        </w:rPr>
        <w:t>Les professionnels de laboratoire médical doivent assumer la responsabilité de leurs actes professionnels.</w:t>
      </w:r>
    </w:p>
    <w:p w14:paraId="5DF4DED1" w14:textId="484BD56C" w:rsidR="00D5757F" w:rsidRPr="006B5A22" w:rsidRDefault="00F13041" w:rsidP="00F13041">
      <w:pPr>
        <w:pStyle w:val="ListParagraph"/>
        <w:numPr>
          <w:ilvl w:val="0"/>
          <w:numId w:val="4"/>
        </w:numPr>
        <w:spacing w:after="100"/>
        <w:rPr>
          <w:rFonts w:ascii="Rockwell" w:hAnsi="Rockwell"/>
          <w:lang w:val="fr-CA"/>
        </w:rPr>
      </w:pPr>
      <w:r w:rsidRPr="00F13041">
        <w:rPr>
          <w:rFonts w:ascii="Rockwell" w:hAnsi="Rockwell"/>
          <w:lang w:val="fr-CA"/>
        </w:rPr>
        <w:t>Les professionnels de laboratoire médical doivent pratiquer des méthodes de travail sûres en tout temps afin d'assurer la sécurité des patients et des collègues de travail et la protection de l'environnement.</w:t>
      </w:r>
    </w:p>
    <w:p w14:paraId="4A9B3A53" w14:textId="783818B7" w:rsidR="001B254C" w:rsidRPr="006B5A22" w:rsidRDefault="00474094" w:rsidP="001B254C">
      <w:pPr>
        <w:spacing w:after="20"/>
        <w:rPr>
          <w:b/>
          <w:lang w:val="fr-CA"/>
        </w:rPr>
      </w:pPr>
      <w:r w:rsidRPr="006B5A22">
        <w:rPr>
          <w:b/>
          <w:lang w:val="fr-CA"/>
        </w:rPr>
        <w:t>Res</w:t>
      </w:r>
      <w:r w:rsidR="007E2377">
        <w:rPr>
          <w:b/>
          <w:lang w:val="fr-CA"/>
        </w:rPr>
        <w:t>s</w:t>
      </w:r>
      <w:r w:rsidRPr="006B5A22">
        <w:rPr>
          <w:b/>
          <w:lang w:val="fr-CA"/>
        </w:rPr>
        <w:t>ource</w:t>
      </w:r>
    </w:p>
    <w:p w14:paraId="25DE6C96" w14:textId="7ECC4D7F" w:rsidR="00474094" w:rsidRPr="006B5A22" w:rsidRDefault="007E2377" w:rsidP="001B254C">
      <w:pPr>
        <w:rPr>
          <w:lang w:val="fr-CA"/>
        </w:rPr>
      </w:pPr>
      <w:hyperlink r:id="rId10" w:history="1">
        <w:r w:rsidR="00A66BDC">
          <w:rPr>
            <w:rStyle w:val="Hyperlink"/>
            <w:lang w:val="fr-CA"/>
          </w:rPr>
          <w:t>Prise de position de la SCSLM – Divulgation d'actes répréhensibles</w:t>
        </w:r>
      </w:hyperlink>
      <w:r w:rsidR="00474094" w:rsidRPr="006B5A22">
        <w:rPr>
          <w:lang w:val="fr-CA"/>
        </w:rPr>
        <w:t xml:space="preserve"> </w:t>
      </w:r>
    </w:p>
    <w:sectPr w:rsidR="00474094" w:rsidRPr="006B5A22" w:rsidSect="001B254C">
      <w:headerReference w:type="default" r:id="rId11"/>
      <w:footerReference w:type="default" r:id="rId12"/>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FA29" w14:textId="77777777" w:rsidR="00800047" w:rsidRDefault="00800047" w:rsidP="00073FEC">
      <w:pPr>
        <w:spacing w:after="0" w:line="240" w:lineRule="auto"/>
      </w:pPr>
      <w:r>
        <w:separator/>
      </w:r>
    </w:p>
  </w:endnote>
  <w:endnote w:type="continuationSeparator" w:id="0">
    <w:p w14:paraId="5F25DDCD" w14:textId="77777777" w:rsidR="00800047" w:rsidRDefault="00800047" w:rsidP="000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altName w:val="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34E8C" w14:textId="77777777" w:rsidR="00A66BDC" w:rsidRPr="000F2000" w:rsidRDefault="00A66BDC" w:rsidP="00A66BDC">
    <w:pPr>
      <w:jc w:val="center"/>
      <w:rPr>
        <w:rFonts w:ascii="Rockwell" w:hAnsi="Rockwell"/>
        <w:sz w:val="18"/>
        <w:szCs w:val="18"/>
        <w:lang w:val="fr-CA"/>
      </w:rPr>
    </w:pPr>
    <w:r w:rsidRPr="00D00093">
      <w:rPr>
        <w:rFonts w:ascii="Rockwell" w:hAnsi="Rockwell"/>
        <w:sz w:val="18"/>
        <w:szCs w:val="18"/>
        <w:lang w:val="fr-CA"/>
      </w:rPr>
      <w:t xml:space="preserve">Suivez </w:t>
    </w:r>
    <w:r w:rsidR="00800047">
      <w:fldChar w:fldCharType="begin"/>
    </w:r>
    <w:r w:rsidR="00800047" w:rsidRPr="00260BE5">
      <w:rPr>
        <w:lang w:val="fr-CA"/>
      </w:rPr>
      <w:instrText xml:space="preserve"> HYPERLINK "https://learn.csmls.org/topclass/login.do?redirectTo=%2Fexpand.do%3Ftemplate%3DCatalogBrowse%26catId%3D1394%26CatalogBrowse%26catId%3D1394%26" </w:instrText>
    </w:r>
    <w:r w:rsidR="00800047">
      <w:fldChar w:fldCharType="separate"/>
    </w:r>
    <w:r w:rsidRPr="00D00093">
      <w:rPr>
        <w:rStyle w:val="Hyperlink"/>
        <w:rFonts w:ascii="Rockwell" w:hAnsi="Rockwell"/>
        <w:sz w:val="18"/>
        <w:szCs w:val="18"/>
        <w:lang w:val="fr-CA"/>
      </w:rPr>
      <w:t>le cours gratuit sur le Code de déontologie</w:t>
    </w:r>
    <w:r w:rsidR="00800047">
      <w:rPr>
        <w:rStyle w:val="Hyperlink"/>
        <w:rFonts w:ascii="Rockwell" w:hAnsi="Rockwell"/>
        <w:sz w:val="18"/>
        <w:szCs w:val="18"/>
        <w:lang w:val="fr-CA"/>
      </w:rPr>
      <w:fldChar w:fldCharType="end"/>
    </w:r>
    <w:r w:rsidRPr="00D00093">
      <w:rPr>
        <w:rFonts w:ascii="Rockwell" w:hAnsi="Rockwell"/>
        <w:sz w:val="18"/>
        <w:szCs w:val="18"/>
        <w:lang w:val="fr-CA"/>
      </w:rPr>
      <w:t xml:space="preserve"> </w:t>
    </w:r>
    <w:r>
      <w:rPr>
        <w:rFonts w:ascii="Rockwell" w:hAnsi="Rockwell"/>
        <w:sz w:val="18"/>
        <w:szCs w:val="18"/>
        <w:lang w:val="fr-CA"/>
      </w:rPr>
      <w:t>aujourd’hui</w:t>
    </w:r>
    <w:r w:rsidRPr="00D00093">
      <w:rPr>
        <w:rFonts w:ascii="Rockwell" w:hAnsi="Rockwell"/>
        <w:sz w:val="18"/>
        <w:szCs w:val="18"/>
        <w:lang w:val="fr-CA"/>
      </w:rPr>
      <w:t>!</w:t>
    </w:r>
  </w:p>
  <w:p w14:paraId="47771FE0" w14:textId="77777777" w:rsidR="00073FEC" w:rsidRPr="00260BE5" w:rsidRDefault="00073FEC">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47682" w14:textId="77777777" w:rsidR="00800047" w:rsidRDefault="00800047" w:rsidP="00073FEC">
      <w:pPr>
        <w:spacing w:after="0" w:line="240" w:lineRule="auto"/>
      </w:pPr>
      <w:r>
        <w:separator/>
      </w:r>
    </w:p>
  </w:footnote>
  <w:footnote w:type="continuationSeparator" w:id="0">
    <w:p w14:paraId="28A0ACD3" w14:textId="77777777" w:rsidR="00800047" w:rsidRDefault="00800047" w:rsidP="000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9D48" w14:textId="68B79D1B" w:rsidR="00073FEC" w:rsidRDefault="00073FEC" w:rsidP="00073FEC">
    <w:pPr>
      <w:pStyle w:val="Header"/>
      <w:jc w:val="center"/>
    </w:pPr>
    <w:r>
      <w:rPr>
        <w:noProof/>
        <w:lang w:eastAsia="en-CA"/>
      </w:rPr>
      <w:drawing>
        <wp:inline distT="0" distB="0" distL="0" distR="0" wp14:anchorId="67130187" wp14:editId="5F2E8763">
          <wp:extent cx="2752725" cy="7719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2783691" cy="780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80B"/>
    <w:multiLevelType w:val="hybridMultilevel"/>
    <w:tmpl w:val="E5B60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00037D"/>
    <w:multiLevelType w:val="hybridMultilevel"/>
    <w:tmpl w:val="261C4DC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7D7ECC"/>
    <w:multiLevelType w:val="hybridMultilevel"/>
    <w:tmpl w:val="37063DF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A35A97"/>
    <w:multiLevelType w:val="hybridMultilevel"/>
    <w:tmpl w:val="2ABA753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NDM2sDQxNDIwNDZV0lEKTi0uzszPAykwqwUAs4LrgCwAAAA="/>
  </w:docVars>
  <w:rsids>
    <w:rsidRoot w:val="00073FEC"/>
    <w:rsid w:val="0001481A"/>
    <w:rsid w:val="000154DD"/>
    <w:rsid w:val="00034D2D"/>
    <w:rsid w:val="00073FEC"/>
    <w:rsid w:val="000A4A49"/>
    <w:rsid w:val="00136854"/>
    <w:rsid w:val="001516D8"/>
    <w:rsid w:val="00152633"/>
    <w:rsid w:val="00161D4D"/>
    <w:rsid w:val="00190424"/>
    <w:rsid w:val="001B1A0F"/>
    <w:rsid w:val="001B254C"/>
    <w:rsid w:val="001D725F"/>
    <w:rsid w:val="001E1576"/>
    <w:rsid w:val="00260BE5"/>
    <w:rsid w:val="0029769F"/>
    <w:rsid w:val="0033252B"/>
    <w:rsid w:val="0038457E"/>
    <w:rsid w:val="003D7D68"/>
    <w:rsid w:val="00421C04"/>
    <w:rsid w:val="004453F6"/>
    <w:rsid w:val="004646B0"/>
    <w:rsid w:val="00474094"/>
    <w:rsid w:val="004B5C44"/>
    <w:rsid w:val="004C732D"/>
    <w:rsid w:val="00522A07"/>
    <w:rsid w:val="005260D1"/>
    <w:rsid w:val="005752C7"/>
    <w:rsid w:val="00622E59"/>
    <w:rsid w:val="00634D1C"/>
    <w:rsid w:val="00650EBE"/>
    <w:rsid w:val="00674271"/>
    <w:rsid w:val="00684019"/>
    <w:rsid w:val="006A1F11"/>
    <w:rsid w:val="006B5A22"/>
    <w:rsid w:val="00781A99"/>
    <w:rsid w:val="007A51EA"/>
    <w:rsid w:val="007E2377"/>
    <w:rsid w:val="00800047"/>
    <w:rsid w:val="00821B57"/>
    <w:rsid w:val="009079E7"/>
    <w:rsid w:val="009643F7"/>
    <w:rsid w:val="009A3B67"/>
    <w:rsid w:val="00A053C0"/>
    <w:rsid w:val="00A62C2E"/>
    <w:rsid w:val="00A66BDC"/>
    <w:rsid w:val="00AA717F"/>
    <w:rsid w:val="00AB15A0"/>
    <w:rsid w:val="00AD3D71"/>
    <w:rsid w:val="00B341E0"/>
    <w:rsid w:val="00B75685"/>
    <w:rsid w:val="00BD343E"/>
    <w:rsid w:val="00C60084"/>
    <w:rsid w:val="00C71836"/>
    <w:rsid w:val="00D11A7F"/>
    <w:rsid w:val="00D5757F"/>
    <w:rsid w:val="00D60761"/>
    <w:rsid w:val="00DA3897"/>
    <w:rsid w:val="00E24F49"/>
    <w:rsid w:val="00E7367A"/>
    <w:rsid w:val="00E80AC8"/>
    <w:rsid w:val="00EE61E2"/>
    <w:rsid w:val="00EF2F69"/>
    <w:rsid w:val="00F10C0B"/>
    <w:rsid w:val="00F13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CC81"/>
  <w15:docId w15:val="{B238D34C-6800-4F3A-831D-55ADD514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customStyle="1" w:styleId="CSMLS-Heading">
    <w:name w:val="CSMLS-Heading"/>
    <w:link w:val="CSMLS-HeadingChar"/>
    <w:qFormat/>
    <w:rsid w:val="00EF2F69"/>
    <w:pPr>
      <w:keepLines/>
      <w:suppressAutoHyphens/>
      <w:spacing w:before="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EF2F69"/>
    <w:rPr>
      <w:rFonts w:ascii="Century Gothic" w:eastAsia="MS Mincho" w:hAnsi="Century Gothic" w:cs="Times New Roman"/>
      <w:color w:val="0078AE"/>
      <w:sz w:val="32"/>
      <w:szCs w:val="24"/>
      <w:lang w:val="en-CA"/>
    </w:rPr>
  </w:style>
  <w:style w:type="paragraph" w:styleId="BalloonText">
    <w:name w:val="Balloon Text"/>
    <w:basedOn w:val="Normal"/>
    <w:link w:val="BalloonTextChar"/>
    <w:uiPriority w:val="99"/>
    <w:semiHidden/>
    <w:unhideWhenUsed/>
    <w:rsid w:val="0052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D1"/>
    <w:rPr>
      <w:rFonts w:ascii="Tahoma" w:hAnsi="Tahoma" w:cs="Tahoma"/>
      <w:sz w:val="16"/>
      <w:szCs w:val="16"/>
      <w:lang w:val="en-CA"/>
    </w:rPr>
  </w:style>
  <w:style w:type="character" w:customStyle="1" w:styleId="UnresolvedMention2">
    <w:name w:val="Unresolved Mention2"/>
    <w:basedOn w:val="DefaultParagraphFont"/>
    <w:uiPriority w:val="99"/>
    <w:semiHidden/>
    <w:unhideWhenUsed/>
    <w:rsid w:val="0001481A"/>
    <w:rPr>
      <w:color w:val="605E5C"/>
      <w:shd w:val="clear" w:color="auto" w:fill="E1DFDD"/>
    </w:rPr>
  </w:style>
  <w:style w:type="table" w:styleId="TableGrid">
    <w:name w:val="Table Grid"/>
    <w:basedOn w:val="TableNormal"/>
    <w:uiPriority w:val="39"/>
    <w:rsid w:val="0063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B5A22"/>
    <w:rPr>
      <w:rFonts w:ascii="Century Gothic" w:hAnsi="Century Gothic"/>
      <w:b/>
      <w:bCs/>
      <w:sz w:val="20"/>
      <w:szCs w:val="20"/>
    </w:rPr>
  </w:style>
  <w:style w:type="character" w:styleId="CommentReference">
    <w:name w:val="annotation reference"/>
    <w:basedOn w:val="DefaultParagraphFont"/>
    <w:uiPriority w:val="99"/>
    <w:semiHidden/>
    <w:unhideWhenUsed/>
    <w:rsid w:val="007E2377"/>
    <w:rPr>
      <w:sz w:val="16"/>
      <w:szCs w:val="16"/>
    </w:rPr>
  </w:style>
  <w:style w:type="paragraph" w:styleId="CommentText">
    <w:name w:val="annotation text"/>
    <w:basedOn w:val="Normal"/>
    <w:link w:val="CommentTextChar"/>
    <w:uiPriority w:val="99"/>
    <w:semiHidden/>
    <w:unhideWhenUsed/>
    <w:rsid w:val="007E2377"/>
    <w:pPr>
      <w:spacing w:line="240" w:lineRule="auto"/>
    </w:pPr>
    <w:rPr>
      <w:sz w:val="20"/>
      <w:szCs w:val="20"/>
    </w:rPr>
  </w:style>
  <w:style w:type="character" w:customStyle="1" w:styleId="CommentTextChar">
    <w:name w:val="Comment Text Char"/>
    <w:basedOn w:val="DefaultParagraphFont"/>
    <w:link w:val="CommentText"/>
    <w:uiPriority w:val="99"/>
    <w:semiHidden/>
    <w:rsid w:val="007E2377"/>
    <w:rPr>
      <w:sz w:val="20"/>
      <w:szCs w:val="20"/>
      <w:lang w:val="en-CA"/>
    </w:rPr>
  </w:style>
  <w:style w:type="paragraph" w:styleId="CommentSubject">
    <w:name w:val="annotation subject"/>
    <w:basedOn w:val="CommentText"/>
    <w:next w:val="CommentText"/>
    <w:link w:val="CommentSubjectChar"/>
    <w:uiPriority w:val="99"/>
    <w:semiHidden/>
    <w:unhideWhenUsed/>
    <w:rsid w:val="007E2377"/>
    <w:rPr>
      <w:b/>
      <w:bCs/>
    </w:rPr>
  </w:style>
  <w:style w:type="character" w:customStyle="1" w:styleId="CommentSubjectChar">
    <w:name w:val="Comment Subject Char"/>
    <w:basedOn w:val="CommentTextChar"/>
    <w:link w:val="CommentSubject"/>
    <w:uiPriority w:val="99"/>
    <w:semiHidden/>
    <w:rsid w:val="007E2377"/>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mls.org/A-propos-de-nous/Nos-membres/Code-de-deontologie.aspx?lang=fr-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smls.org/About-Us/About-CSMLS/Position-Statements.aspx" TargetMode="External"/><Relationship Id="rId4" Type="http://schemas.openxmlformats.org/officeDocument/2006/relationships/settings" Target="settings.xml"/><Relationship Id="rId9" Type="http://schemas.openxmlformats.org/officeDocument/2006/relationships/hyperlink" Target="https://www.csmls.org/About-Us/Our-Members/Code-of-Conduct.aspx?lang=fr-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AE4A004F-C181-44AB-9D50-67CBF19C6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Laura Zychla</cp:lastModifiedBy>
  <cp:revision>12</cp:revision>
  <dcterms:created xsi:type="dcterms:W3CDTF">2019-07-15T15:10:00Z</dcterms:created>
  <dcterms:modified xsi:type="dcterms:W3CDTF">2019-07-22T15:50:00Z</dcterms:modified>
</cp:coreProperties>
</file>