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9707" w14:textId="77777777" w:rsidR="00D71BD2" w:rsidRPr="003B51DC" w:rsidRDefault="00D71BD2">
      <w:pPr>
        <w:jc w:val="center"/>
        <w:rPr>
          <w:lang w:val="fr-CA"/>
        </w:rPr>
      </w:pPr>
      <w:bookmarkStart w:id="0" w:name="_GoBack"/>
      <w:bookmarkEnd w:id="0"/>
    </w:p>
    <w:p w14:paraId="4468C17E" w14:textId="15B32E48" w:rsidR="009829B6" w:rsidRPr="003B51DC" w:rsidRDefault="00982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</w:pPr>
      <w:r w:rsidRPr="003B51DC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L’éthique à la carte – Vaccins pour travailleurs de la santé</w:t>
      </w:r>
    </w:p>
    <w:p w14:paraId="1E60B738" w14:textId="7D1C82B4" w:rsidR="00D71BD2" w:rsidRPr="003B51DC" w:rsidRDefault="005D17A8" w:rsidP="00E531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entury Gothic" w:eastAsia="Century Gothic" w:hAnsi="Century Gothic" w:cs="Century Gothic"/>
          <w:b/>
          <w:color w:val="333333"/>
          <w:sz w:val="20"/>
          <w:szCs w:val="20"/>
          <w:lang w:val="fr-CA"/>
        </w:rPr>
      </w:pPr>
      <w:r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Article</w:t>
      </w:r>
      <w:r w:rsidR="007303D7"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 :</w:t>
      </w:r>
      <w:r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 xml:space="preserve"> </w:t>
      </w:r>
      <w:hyperlink r:id="rId7">
        <w:r w:rsidR="00E037E4" w:rsidRPr="003B51DC"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  <w:lang w:val="fr-CA"/>
          </w:rPr>
          <w:t>Une employée de laboratoire s’injecte accidentellement un virus associé à la variole dans le doigt</w:t>
        </w:r>
      </w:hyperlink>
    </w:p>
    <w:p w14:paraId="7F61A7CC" w14:textId="2AF9607B" w:rsidR="00D71BD2" w:rsidRPr="003B51DC" w:rsidRDefault="00565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3B51DC">
        <w:rPr>
          <w:rStyle w:val="Strong"/>
          <w:lang w:val="fr-CA"/>
        </w:rPr>
        <w:t>Quelle a été la situation</w:t>
      </w:r>
      <w:r w:rsidR="005D17A8"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?</w:t>
      </w:r>
    </w:p>
    <w:p w14:paraId="4B02E07C" w14:textId="276E267D" w:rsidR="00E372A4" w:rsidRPr="003B51DC" w:rsidRDefault="007303D7" w:rsidP="00EA130C">
      <w:pPr>
        <w:spacing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eastAsia="Rockwell" w:hAnsi="Rockwell" w:cs="Rockwell"/>
          <w:lang w:val="fr-CA"/>
        </w:rPr>
        <w:t>Une employée d’un laboratoire à San Diego (États-Unis) s’est accidentellement injectée un virus associé à la variole dans l’un de ses doigts. L’infection résultant</w:t>
      </w:r>
      <w:r w:rsidR="00E84F87" w:rsidRPr="003B51DC">
        <w:rPr>
          <w:rFonts w:ascii="Rockwell" w:eastAsia="Rockwell" w:hAnsi="Rockwell" w:cs="Rockwell"/>
          <w:lang w:val="fr-CA"/>
        </w:rPr>
        <w:t>e</w:t>
      </w:r>
      <w:r w:rsidRPr="003B51DC">
        <w:rPr>
          <w:rFonts w:ascii="Rockwell" w:eastAsia="Rockwell" w:hAnsi="Rockwell" w:cs="Rockwell"/>
          <w:lang w:val="fr-CA"/>
        </w:rPr>
        <w:t xml:space="preserve"> a provoqué le gonflement et le noircissement du doigt, </w:t>
      </w:r>
      <w:r w:rsidR="003B51DC" w:rsidRPr="003B51DC">
        <w:rPr>
          <w:rFonts w:ascii="Rockwell" w:eastAsia="Rockwell" w:hAnsi="Rockwell" w:cs="Rockwell"/>
          <w:lang w:val="fr-CA"/>
        </w:rPr>
        <w:t>et a pr</w:t>
      </w:r>
      <w:r w:rsidRPr="003B51DC">
        <w:rPr>
          <w:rFonts w:ascii="Rockwell" w:eastAsia="Rockwell" w:hAnsi="Rockwell" w:cs="Rockwell"/>
          <w:lang w:val="fr-CA"/>
        </w:rPr>
        <w:t>is plus de trois mois à guérir.</w:t>
      </w:r>
      <w:r w:rsidR="005D17A8" w:rsidRPr="003B51DC">
        <w:rPr>
          <w:rFonts w:ascii="Rockwell" w:eastAsia="Rockwell" w:hAnsi="Rockwell" w:cs="Rockwell"/>
          <w:lang w:val="fr-CA"/>
        </w:rPr>
        <w:t xml:space="preserve"> </w:t>
      </w:r>
      <w:r w:rsidRPr="003B51DC">
        <w:rPr>
          <w:rFonts w:ascii="Rockwell" w:eastAsia="Rockwell" w:hAnsi="Rockwell" w:cs="Rockwell"/>
          <w:lang w:val="fr-CA"/>
        </w:rPr>
        <w:t xml:space="preserve">Bien que la laborantine ait eu l’occasion de recevoir le vaccin antivariolique avant </w:t>
      </w:r>
      <w:r w:rsidR="00E84F87" w:rsidRPr="003B51DC">
        <w:rPr>
          <w:rFonts w:ascii="Rockwell" w:eastAsia="Rockwell" w:hAnsi="Rockwell" w:cs="Rockwell"/>
          <w:lang w:val="fr-CA"/>
        </w:rPr>
        <w:t>cet incident, elle a refusé la vaccination car elle « n’avait pas compris l’étendue des conséquences que l’infection pouvait provoquer » et elle pensait qu’il serait compliqué de gérer les effets secondaires potentiels du vaccin.</w:t>
      </w:r>
    </w:p>
    <w:p w14:paraId="2487AF4B" w14:textId="424E8662" w:rsidR="00D71BD2" w:rsidRPr="003B51DC" w:rsidRDefault="00565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Qu’est-ce qui a mal tourné</w:t>
      </w:r>
      <w:r w:rsidR="005D17A8"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?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402"/>
        <w:gridCol w:w="2823"/>
        <w:gridCol w:w="3120"/>
      </w:tblGrid>
      <w:tr w:rsidR="00E372A4" w:rsidRPr="003B51DC" w14:paraId="2EB2D8BE" w14:textId="5B4FCF83" w:rsidTr="006C47A5">
        <w:trPr>
          <w:trHeight w:val="880"/>
        </w:trPr>
        <w:tc>
          <w:tcPr>
            <w:tcW w:w="3402" w:type="dxa"/>
          </w:tcPr>
          <w:p w14:paraId="045CA239" w14:textId="705556ED" w:rsidR="00E372A4" w:rsidRPr="003B51DC" w:rsidRDefault="00DA3178" w:rsidP="00EA130C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3B51DC">
              <w:rPr>
                <w:rFonts w:ascii="Rockwell" w:eastAsia="Rockwell" w:hAnsi="Rockwell" w:cs="Rockwell"/>
                <w:lang w:val="fr-CA"/>
              </w:rPr>
              <w:t>Promotion insuffisante de son rôle comme leader dans la sensibilisation envers la santé</w:t>
            </w:r>
            <w:r w:rsidR="00E372A4" w:rsidRPr="003B51DC">
              <w:rPr>
                <w:rFonts w:ascii="Rockwell" w:eastAsia="Rockwell" w:hAnsi="Rockwell" w:cs="Rockwell"/>
                <w:lang w:val="fr-CA"/>
              </w:rPr>
              <w:t xml:space="preserve"> </w:t>
            </w:r>
          </w:p>
        </w:tc>
        <w:tc>
          <w:tcPr>
            <w:tcW w:w="2823" w:type="dxa"/>
          </w:tcPr>
          <w:p w14:paraId="70C80D3E" w14:textId="55ED9BF7" w:rsidR="00E372A4" w:rsidRPr="003B51DC" w:rsidRDefault="00DA3178" w:rsidP="00EA130C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 w:rsidRPr="003B51DC">
              <w:rPr>
                <w:rFonts w:ascii="Rockwell" w:eastAsia="Rockwell" w:hAnsi="Rockwell" w:cs="Rockwell"/>
                <w:lang w:val="fr-CA"/>
              </w:rPr>
              <w:t>Manque de compréhension d’une situation dangereuse</w:t>
            </w:r>
          </w:p>
          <w:p w14:paraId="45B0E7A1" w14:textId="77777777" w:rsidR="00E372A4" w:rsidRPr="003B51DC" w:rsidRDefault="00E372A4" w:rsidP="00EA130C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  <w:tc>
          <w:tcPr>
            <w:tcW w:w="3120" w:type="dxa"/>
          </w:tcPr>
          <w:p w14:paraId="1FD8B22D" w14:textId="0F2E406E" w:rsidR="00E372A4" w:rsidRPr="003B51DC" w:rsidRDefault="00DA3178" w:rsidP="00DA3178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 w:rsidRPr="003B51DC">
              <w:rPr>
                <w:rFonts w:ascii="Rockwell" w:eastAsia="Rockwell" w:hAnsi="Rockwell" w:cs="Rockwell"/>
                <w:lang w:val="fr-CA"/>
              </w:rPr>
              <w:t xml:space="preserve">Communication inefficace au personnel concernant la santé et la sécurité </w:t>
            </w:r>
          </w:p>
        </w:tc>
      </w:tr>
    </w:tbl>
    <w:p w14:paraId="1E31AEEB" w14:textId="430AE07C" w:rsidR="00D71BD2" w:rsidRPr="003B51DC" w:rsidRDefault="00565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3B51DC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43AE8DDE" w14:textId="1FBCDA39" w:rsidR="005655DE" w:rsidRPr="003B51DC" w:rsidRDefault="005655DE" w:rsidP="00565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  <w:lang w:val="fr-CA"/>
        </w:rPr>
      </w:pPr>
      <w:r w:rsidRPr="003B51DC">
        <w:rPr>
          <w:rFonts w:ascii="Rockwell" w:hAnsi="Rockwell" w:cs="Arial"/>
          <w:lang w:val="fr-CA"/>
        </w:rPr>
        <w:t xml:space="preserve">Le </w:t>
      </w:r>
      <w:r w:rsidR="00D07169">
        <w:fldChar w:fldCharType="begin"/>
      </w:r>
      <w:r w:rsidR="00D07169" w:rsidRPr="008D10DB">
        <w:rPr>
          <w:lang w:val="fr-CA"/>
        </w:rPr>
        <w:instrText xml:space="preserve"> HYPERLINK "https://www.csmls.org/A-propos-de-nous/Nos-membres/Code-de-deontologie.aspx?lang=fr-CA" </w:instrText>
      </w:r>
      <w:r w:rsidR="00D07169">
        <w:fldChar w:fldCharType="separate"/>
      </w:r>
      <w:r w:rsidRPr="003B51DC">
        <w:rPr>
          <w:rStyle w:val="Hyperlink"/>
          <w:rFonts w:ascii="Rockwell" w:hAnsi="Rockwell" w:cs="Arial"/>
          <w:lang w:val="fr-CA"/>
        </w:rPr>
        <w:t>Code de déontologie de la SCSLM</w:t>
      </w:r>
      <w:r w:rsidR="00D07169">
        <w:rPr>
          <w:rStyle w:val="Hyperlink"/>
          <w:rFonts w:ascii="Rockwell" w:hAnsi="Rockwell" w:cs="Arial"/>
          <w:lang w:val="fr-CA"/>
        </w:rPr>
        <w:fldChar w:fldCharType="end"/>
      </w:r>
      <w:r w:rsidRPr="003B51DC">
        <w:rPr>
          <w:rFonts w:ascii="Rockwell" w:hAnsi="Rockwell" w:cs="Arial"/>
          <w:color w:val="3F3F3F"/>
          <w:lang w:val="fr-CA"/>
        </w:rPr>
        <w:t xml:space="preserve"> </w:t>
      </w:r>
      <w:r w:rsidRPr="003B51DC">
        <w:rPr>
          <w:rFonts w:ascii="Rockwell" w:hAnsi="Rockwell" w:cs="Arial"/>
          <w:lang w:val="fr-CA"/>
        </w:rPr>
        <w:t xml:space="preserve">vise à définir et à développer les concepts d’éthique intrinsèques contenus dans le </w:t>
      </w:r>
      <w:r w:rsidR="00D07169">
        <w:fldChar w:fldCharType="begin"/>
      </w:r>
      <w:r w:rsidR="00D07169" w:rsidRPr="008D10DB">
        <w:rPr>
          <w:lang w:val="fr-CA"/>
        </w:rPr>
        <w:instrText xml:space="preserve"> HYPERLINK "https://www.csmls.org/Abo</w:instrText>
      </w:r>
      <w:r w:rsidR="00D07169" w:rsidRPr="008D10DB">
        <w:rPr>
          <w:lang w:val="fr-CA"/>
        </w:rPr>
        <w:instrText xml:space="preserve">ut-Us/Our-Members/Code-of-Conduct.aspx?lang=fr-CA" </w:instrText>
      </w:r>
      <w:r w:rsidR="00D07169">
        <w:fldChar w:fldCharType="separate"/>
      </w:r>
      <w:r w:rsidRPr="003B51DC">
        <w:rPr>
          <w:rStyle w:val="Hyperlink"/>
          <w:rFonts w:ascii="Rockwell" w:hAnsi="Rockwell" w:cs="Arial"/>
          <w:lang w:val="fr-CA"/>
        </w:rPr>
        <w:t>Code de conduite professionnelle de la SCSLM</w:t>
      </w:r>
      <w:r w:rsidR="00D07169">
        <w:rPr>
          <w:rStyle w:val="Hyperlink"/>
          <w:rFonts w:ascii="Rockwell" w:hAnsi="Rockwell" w:cs="Arial"/>
          <w:lang w:val="fr-CA"/>
        </w:rPr>
        <w:fldChar w:fldCharType="end"/>
      </w:r>
      <w:r w:rsidRPr="003B51DC">
        <w:rPr>
          <w:rFonts w:ascii="Rockwell" w:hAnsi="Rockwell" w:cs="Arial"/>
          <w:lang w:val="fr-CA"/>
        </w:rPr>
        <w:t>, à documenter les attentes à l’égard du comportement éthique de tous les professionnels de laboratoire médical, et à fournir un cadre lors des évaluations professionnelles et des autoévaluations personnelles. Envisagez comment adhérer à ces codes aurait pu empêcher cette situation. Quels autres codes s’y appliquent?</w:t>
      </w:r>
    </w:p>
    <w:p w14:paraId="4CFCB42D" w14:textId="7717EE9E" w:rsidR="00D71BD2" w:rsidRPr="003B51DC" w:rsidRDefault="005655DE" w:rsidP="005655DE">
      <w:pPr>
        <w:spacing w:after="0"/>
        <w:rPr>
          <w:rFonts w:ascii="Rockwell" w:eastAsia="Rockwell" w:hAnsi="Rockwell" w:cs="Rockwell"/>
          <w:i/>
          <w:lang w:val="fr-CA"/>
        </w:rPr>
      </w:pPr>
      <w:r w:rsidRPr="003B51DC">
        <w:rPr>
          <w:rFonts w:ascii="Rockwell" w:hAnsi="Rockwell"/>
          <w:i/>
          <w:lang w:val="fr-CA"/>
        </w:rPr>
        <w:t>Code de déontologie</w:t>
      </w:r>
    </w:p>
    <w:p w14:paraId="1598FE4A" w14:textId="47D948CD" w:rsidR="00D71BD2" w:rsidRPr="003B51DC" w:rsidRDefault="005D17A8" w:rsidP="00510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eastAsia="Rockwell" w:hAnsi="Rockwell" w:cs="Rockwell"/>
          <w:lang w:val="fr-CA"/>
        </w:rPr>
        <w:t xml:space="preserve">1.3 </w:t>
      </w:r>
      <w:r w:rsidR="00510518" w:rsidRPr="003B51DC">
        <w:rPr>
          <w:rFonts w:ascii="Rockwell" w:eastAsia="Rockwell" w:hAnsi="Rockwell" w:cs="Rockwell"/>
          <w:lang w:val="fr-CA"/>
        </w:rPr>
        <w:t>Reconnaître des situations risquées afin de minimiser les effets nuisibles sur les patients, le personnel et soi-même.</w:t>
      </w:r>
    </w:p>
    <w:p w14:paraId="29600B7D" w14:textId="46B49D5B" w:rsidR="00D71BD2" w:rsidRPr="003B51DC" w:rsidRDefault="005D17A8" w:rsidP="00510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eastAsia="Rockwell" w:hAnsi="Rockwell" w:cs="Rockwell"/>
          <w:lang w:val="fr-CA"/>
        </w:rPr>
        <w:t xml:space="preserve">1.5 </w:t>
      </w:r>
      <w:r w:rsidR="00510518" w:rsidRPr="003B51DC">
        <w:rPr>
          <w:rFonts w:ascii="Rockwell" w:eastAsia="Rockwell" w:hAnsi="Rockwell" w:cs="Rockwell"/>
          <w:lang w:val="fr-CA"/>
        </w:rPr>
        <w:t>Assumer la responsabilité des erreurs commises ou observées et prendre des mesures immédiates afin d'éviter ou de minimiser les effets nuisibles y associés.</w:t>
      </w:r>
    </w:p>
    <w:p w14:paraId="64A5937F" w14:textId="3D48C783" w:rsidR="00D71BD2" w:rsidRPr="003B51DC" w:rsidRDefault="005D17A8" w:rsidP="005105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eastAsia="Rockwell" w:hAnsi="Rockwell" w:cs="Rockwell"/>
          <w:lang w:val="fr-CA"/>
        </w:rPr>
        <w:t xml:space="preserve">1.6 </w:t>
      </w:r>
      <w:r w:rsidR="00510518" w:rsidRPr="003B51DC">
        <w:rPr>
          <w:rFonts w:ascii="Rockwell" w:eastAsia="Rockwell" w:hAnsi="Rockwell" w:cs="Rockwell"/>
          <w:lang w:val="fr-CA"/>
        </w:rPr>
        <w:t>Promouvoir les milieux de travail qui favorisent des pratiques sécuritaires, compétentes et éthiques.</w:t>
      </w:r>
    </w:p>
    <w:p w14:paraId="3F186E37" w14:textId="02B68BBD" w:rsidR="00D71BD2" w:rsidRPr="003B51DC" w:rsidRDefault="005655DE" w:rsidP="00EA130C">
      <w:pPr>
        <w:spacing w:after="0" w:line="240" w:lineRule="auto"/>
        <w:rPr>
          <w:rFonts w:ascii="Rockwell" w:eastAsia="Rockwell" w:hAnsi="Rockwell" w:cs="Rockwell"/>
          <w:i/>
          <w:lang w:val="fr-CA"/>
        </w:rPr>
      </w:pPr>
      <w:r w:rsidRPr="003B51DC">
        <w:rPr>
          <w:rFonts w:ascii="Rockwell" w:hAnsi="Rockwell"/>
          <w:i/>
          <w:lang w:val="fr-CA"/>
        </w:rPr>
        <w:t>Code de conduite professionnelle</w:t>
      </w:r>
    </w:p>
    <w:p w14:paraId="27491038" w14:textId="04740F7E" w:rsidR="00D71BD2" w:rsidRPr="003B51DC" w:rsidRDefault="009A514D" w:rsidP="009A5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eastAsia="Rockwell" w:hAnsi="Rockwell" w:cs="Rockwell"/>
          <w:lang w:val="fr-CA"/>
        </w:rPr>
        <w:t>Les professionnels de laboratoire médical doivent pratiquer des méthodes de tra</w:t>
      </w:r>
      <w:r w:rsidR="00DD372E" w:rsidRPr="003B51DC">
        <w:rPr>
          <w:rFonts w:ascii="Rockwell" w:eastAsia="Rockwell" w:hAnsi="Rockwell" w:cs="Rockwell"/>
          <w:lang w:val="fr-CA"/>
        </w:rPr>
        <w:t>vail sûres en tout temps afin d’</w:t>
      </w:r>
      <w:r w:rsidRPr="003B51DC">
        <w:rPr>
          <w:rFonts w:ascii="Rockwell" w:eastAsia="Rockwell" w:hAnsi="Rockwell" w:cs="Rockwell"/>
          <w:lang w:val="fr-CA"/>
        </w:rPr>
        <w:t>assurer la sécurité des patients et des collègues de travail et la protection de l'environnement.</w:t>
      </w:r>
    </w:p>
    <w:p w14:paraId="259BD2A8" w14:textId="72445575" w:rsidR="00E372A4" w:rsidRPr="003B51DC" w:rsidRDefault="009A514D" w:rsidP="009A5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hAnsi="Rockwell" w:cs="Arial"/>
          <w:lang w:val="fr-CA"/>
        </w:rPr>
        <w:t>Les professionnels d</w:t>
      </w:r>
      <w:r w:rsidR="00DD372E" w:rsidRPr="003B51DC">
        <w:rPr>
          <w:rFonts w:ascii="Rockwell" w:hAnsi="Rockwell" w:cs="Arial"/>
          <w:lang w:val="fr-CA"/>
        </w:rPr>
        <w:t>e laboratoire médical doivent s’</w:t>
      </w:r>
      <w:r w:rsidRPr="003B51DC">
        <w:rPr>
          <w:rFonts w:ascii="Rockwell" w:hAnsi="Rockwell" w:cs="Arial"/>
          <w:lang w:val="fr-CA"/>
        </w:rPr>
        <w:t>engager à maintenir et à améliorer leurs compétences et leurs connaissances et à se tenir à jour face aux progrès scientifiques. Ils maintiendront une honnêteté intellectuelle pour tout ce qui touche la cer</w:t>
      </w:r>
      <w:r w:rsidR="00DD372E" w:rsidRPr="003B51DC">
        <w:rPr>
          <w:rFonts w:ascii="Rockwell" w:hAnsi="Rockwell" w:cs="Arial"/>
          <w:lang w:val="fr-CA"/>
        </w:rPr>
        <w:t>tification professionnelle et l’</w:t>
      </w:r>
      <w:r w:rsidRPr="003B51DC">
        <w:rPr>
          <w:rFonts w:ascii="Rockwell" w:hAnsi="Rockwell" w:cs="Arial"/>
          <w:lang w:val="fr-CA"/>
        </w:rPr>
        <w:t>éducation permanente.</w:t>
      </w:r>
    </w:p>
    <w:p w14:paraId="3E57F37A" w14:textId="10B9409E" w:rsidR="00EA130C" w:rsidRPr="003B51DC" w:rsidRDefault="009A514D" w:rsidP="009A5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eastAsia="Rockwell" w:hAnsi="Rockwell" w:cs="Rockwell"/>
          <w:lang w:val="fr-CA"/>
        </w:rPr>
      </w:pPr>
      <w:r w:rsidRPr="003B51DC">
        <w:rPr>
          <w:rFonts w:ascii="Rockwell" w:hAnsi="Rockwell" w:cs="Arial"/>
          <w:lang w:val="fr-CA"/>
        </w:rPr>
        <w:t xml:space="preserve">Les professionnels de laboratoire médical doivent partager leurs connaissances avec </w:t>
      </w:r>
      <w:r w:rsidR="00DD372E" w:rsidRPr="003B51DC">
        <w:rPr>
          <w:rFonts w:ascii="Rockwell" w:hAnsi="Rockwell" w:cs="Arial"/>
          <w:lang w:val="fr-CA"/>
        </w:rPr>
        <w:t>leurs collègues et promouvoir l’</w:t>
      </w:r>
      <w:r w:rsidRPr="003B51DC">
        <w:rPr>
          <w:rFonts w:ascii="Rockwell" w:hAnsi="Rockwell" w:cs="Arial"/>
          <w:lang w:val="fr-CA"/>
        </w:rPr>
        <w:t>apprentissage.</w:t>
      </w:r>
    </w:p>
    <w:p w14:paraId="38FFFED3" w14:textId="7B3B9963" w:rsidR="00D71BD2" w:rsidRPr="003B51DC" w:rsidRDefault="005655DE" w:rsidP="00EA130C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3B51DC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lastRenderedPageBreak/>
        <w:t>Articles pertinents :</w:t>
      </w:r>
    </w:p>
    <w:bookmarkStart w:id="1" w:name="_odkqmbagrrnt" w:colFirst="0" w:colLast="0"/>
    <w:bookmarkEnd w:id="1"/>
    <w:p w14:paraId="4518E443" w14:textId="4B2DDB4A" w:rsidR="00C1634C" w:rsidRPr="003B51DC" w:rsidRDefault="00C1634C" w:rsidP="00C1634C">
      <w:pPr>
        <w:spacing w:after="0"/>
        <w:rPr>
          <w:rFonts w:ascii="Rockwell" w:hAnsi="Rockwell"/>
          <w:lang w:val="fr-CA"/>
        </w:rPr>
      </w:pPr>
      <w:r w:rsidRPr="003B51DC">
        <w:rPr>
          <w:rFonts w:ascii="Rockwell" w:hAnsi="Rockwell"/>
          <w:lang w:val="fr-CA"/>
        </w:rPr>
        <w:fldChar w:fldCharType="begin"/>
      </w:r>
      <w:r w:rsidRPr="003B51DC">
        <w:rPr>
          <w:rFonts w:ascii="Rockwell" w:hAnsi="Rockwell"/>
          <w:lang w:val="fr-CA"/>
        </w:rPr>
        <w:instrText xml:space="preserve"> HYPERLINK "https://www.ledevoir.com/societe/sante/499234/italie-le-vaccin-contre-la-rougeole-rendu-obligatoire-a" </w:instrText>
      </w:r>
      <w:r w:rsidRPr="003B51DC">
        <w:rPr>
          <w:rFonts w:ascii="Rockwell" w:hAnsi="Rockwell"/>
          <w:lang w:val="fr-CA"/>
        </w:rPr>
        <w:fldChar w:fldCharType="separate"/>
      </w:r>
      <w:r w:rsidRPr="003B51DC">
        <w:rPr>
          <w:rStyle w:val="Hyperlink"/>
          <w:rFonts w:ascii="Rockwell" w:hAnsi="Rockwell"/>
          <w:lang w:val="fr-CA"/>
        </w:rPr>
        <w:t>Italie : le vaccin contre la rougeole rendu obligatoire à l'école</w:t>
      </w:r>
      <w:r w:rsidRPr="003B51DC">
        <w:rPr>
          <w:rFonts w:ascii="Rockwell" w:hAnsi="Rockwell"/>
          <w:lang w:val="fr-CA"/>
        </w:rPr>
        <w:fldChar w:fldCharType="end"/>
      </w:r>
    </w:p>
    <w:p w14:paraId="3454DF13" w14:textId="2B0C767A" w:rsidR="00C1634C" w:rsidRPr="003B51DC" w:rsidRDefault="00D07169" w:rsidP="00C1634C">
      <w:pPr>
        <w:spacing w:after="0"/>
        <w:rPr>
          <w:rFonts w:ascii="Rockwell" w:eastAsia="Rockwell" w:hAnsi="Rockwell" w:cs="Rockwell"/>
          <w:color w:val="1155CC"/>
          <w:u w:val="single"/>
          <w:lang w:val="fr-CA"/>
        </w:rPr>
      </w:pPr>
      <w:hyperlink r:id="rId8" w:history="1">
        <w:r w:rsidR="00C1634C" w:rsidRPr="003B51DC">
          <w:rPr>
            <w:rStyle w:val="Hyperlink"/>
            <w:rFonts w:ascii="Rockwell" w:hAnsi="Rockwell"/>
            <w:shd w:val="clear" w:color="auto" w:fill="FFFFFF"/>
            <w:lang w:val="fr-CA"/>
          </w:rPr>
          <w:t>Les travailleurs du secteur de la santé devront-ils se faire vac</w:t>
        </w:r>
        <w:r w:rsidR="003B51DC" w:rsidRPr="003B51DC">
          <w:rPr>
            <w:rStyle w:val="Hyperlink"/>
            <w:rFonts w:ascii="Rockwell" w:hAnsi="Rockwell"/>
            <w:shd w:val="clear" w:color="auto" w:fill="FFFFFF"/>
            <w:lang w:val="fr-CA"/>
          </w:rPr>
          <w:t>c</w:t>
        </w:r>
        <w:r w:rsidR="00C1634C" w:rsidRPr="003B51DC">
          <w:rPr>
            <w:rStyle w:val="Hyperlink"/>
            <w:rFonts w:ascii="Rockwell" w:hAnsi="Rockwell"/>
            <w:shd w:val="clear" w:color="auto" w:fill="FFFFFF"/>
            <w:lang w:val="fr-CA"/>
          </w:rPr>
          <w:t>iner?</w:t>
        </w:r>
      </w:hyperlink>
    </w:p>
    <w:p w14:paraId="05C6F3FC" w14:textId="77777777" w:rsidR="00C1634C" w:rsidRPr="003B51DC" w:rsidRDefault="00D07169" w:rsidP="00C1634C">
      <w:pPr>
        <w:pStyle w:val="Heading1"/>
        <w:spacing w:before="0"/>
        <w:rPr>
          <w:rFonts w:ascii="Rockwell" w:eastAsia="Rockwell" w:hAnsi="Rockwell" w:cs="Rockwell"/>
          <w:color w:val="1155CC"/>
          <w:sz w:val="22"/>
          <w:szCs w:val="22"/>
          <w:u w:val="single"/>
          <w:lang w:val="fr-CA"/>
        </w:rPr>
      </w:pPr>
      <w:hyperlink r:id="rId9">
        <w:proofErr w:type="spellStart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Mandatory</w:t>
        </w:r>
        <w:proofErr w:type="spellEnd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vaccines to continue in </w:t>
        </w:r>
        <w:proofErr w:type="spellStart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Italy</w:t>
        </w:r>
        <w:proofErr w:type="spellEnd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</w:t>
        </w:r>
        <w:proofErr w:type="spellStart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after</w:t>
        </w:r>
        <w:proofErr w:type="spellEnd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</w:t>
        </w:r>
        <w:proofErr w:type="spellStart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measles</w:t>
        </w:r>
        <w:proofErr w:type="spellEnd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</w:t>
        </w:r>
        <w:proofErr w:type="spellStart"/>
        <w:r w:rsidR="00C1634C" w:rsidRPr="003B51DC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outbreaks</w:t>
        </w:r>
        <w:proofErr w:type="spellEnd"/>
      </w:hyperlink>
    </w:p>
    <w:p w14:paraId="25A8556D" w14:textId="1D9AF26A" w:rsidR="00D71BD2" w:rsidRPr="003B51DC" w:rsidRDefault="00D07169" w:rsidP="00C22684">
      <w:pPr>
        <w:spacing w:after="0"/>
        <w:rPr>
          <w:rFonts w:ascii="Rockwell" w:eastAsia="Rockwell" w:hAnsi="Rockwell" w:cs="Rockwell"/>
          <w:color w:val="1155CC"/>
          <w:u w:val="single"/>
          <w:lang w:val="fr-CA"/>
        </w:rPr>
      </w:pPr>
      <w:hyperlink r:id="rId10"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 xml:space="preserve">Are </w:t>
        </w:r>
        <w:proofErr w:type="spellStart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>Your</w:t>
        </w:r>
        <w:proofErr w:type="spellEnd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 xml:space="preserve"> Healthcare </w:t>
        </w:r>
        <w:proofErr w:type="spellStart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>Workers</w:t>
        </w:r>
        <w:proofErr w:type="spellEnd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 xml:space="preserve"> </w:t>
        </w:r>
        <w:proofErr w:type="spellStart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>Armed</w:t>
        </w:r>
        <w:proofErr w:type="spellEnd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 xml:space="preserve"> </w:t>
        </w:r>
        <w:proofErr w:type="spellStart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>With</w:t>
        </w:r>
        <w:proofErr w:type="spellEnd"/>
        <w:r w:rsidR="005D17A8" w:rsidRPr="003B51DC">
          <w:rPr>
            <w:rFonts w:ascii="Rockwell" w:eastAsia="Rockwell" w:hAnsi="Rockwell" w:cs="Rockwell"/>
            <w:color w:val="1155CC"/>
            <w:u w:val="single"/>
            <w:lang w:val="fr-CA"/>
          </w:rPr>
          <w:t xml:space="preserve"> the Right Vaccinations?</w:t>
        </w:r>
      </w:hyperlink>
      <w:bookmarkStart w:id="2" w:name="_o6ny3sd6vms" w:colFirst="0" w:colLast="0"/>
      <w:bookmarkEnd w:id="2"/>
    </w:p>
    <w:p w14:paraId="45E206B2" w14:textId="27708FC3" w:rsidR="00D71BD2" w:rsidRPr="003B51DC" w:rsidRDefault="00D07169">
      <w:pPr>
        <w:rPr>
          <w:lang w:val="fr-CA"/>
        </w:rPr>
      </w:pPr>
      <w:hyperlink r:id="rId11" w:history="1"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Human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error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 in high-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biocontainment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labs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: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a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likely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pandemic</w:t>
        </w:r>
        <w:proofErr w:type="spellEnd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 xml:space="preserve"> </w:t>
        </w:r>
        <w:proofErr w:type="spellStart"/>
        <w:r w:rsidR="00C22684" w:rsidRPr="003B51DC">
          <w:rPr>
            <w:rStyle w:val="Hyperlink"/>
            <w:rFonts w:ascii="Rockwell" w:eastAsia="Rockwell" w:hAnsi="Rockwell" w:cs="Rockwell"/>
            <w:lang w:val="fr-CA"/>
          </w:rPr>
          <w:t>threat</w:t>
        </w:r>
        <w:proofErr w:type="spellEnd"/>
      </w:hyperlink>
      <w:bookmarkStart w:id="3" w:name="_30j0zll" w:colFirst="0" w:colLast="0"/>
      <w:bookmarkEnd w:id="3"/>
    </w:p>
    <w:sectPr w:rsidR="00D71BD2" w:rsidRPr="003B51DC">
      <w:headerReference w:type="default" r:id="rId12"/>
      <w:footerReference w:type="default" r:id="rId13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5024" w14:textId="77777777" w:rsidR="00D07169" w:rsidRDefault="00D07169">
      <w:pPr>
        <w:spacing w:after="0" w:line="240" w:lineRule="auto"/>
      </w:pPr>
      <w:r>
        <w:separator/>
      </w:r>
    </w:p>
  </w:endnote>
  <w:endnote w:type="continuationSeparator" w:id="0">
    <w:p w14:paraId="362E05D7" w14:textId="77777777" w:rsidR="00D07169" w:rsidRDefault="00D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7687" w14:textId="3AD55BB9" w:rsidR="00D71BD2" w:rsidRPr="005655DE" w:rsidRDefault="005655DE" w:rsidP="005655DE">
    <w:pPr>
      <w:jc w:val="center"/>
      <w:rPr>
        <w:rFonts w:ascii="Rockwell" w:eastAsia="Rockwell" w:hAnsi="Rockwell" w:cs="Rockwell"/>
        <w:sz w:val="18"/>
        <w:szCs w:val="18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C8E5" w14:textId="77777777" w:rsidR="00D07169" w:rsidRDefault="00D07169">
      <w:pPr>
        <w:spacing w:after="0" w:line="240" w:lineRule="auto"/>
      </w:pPr>
      <w:r>
        <w:separator/>
      </w:r>
    </w:p>
  </w:footnote>
  <w:footnote w:type="continuationSeparator" w:id="0">
    <w:p w14:paraId="631FDB2B" w14:textId="77777777" w:rsidR="00D07169" w:rsidRDefault="00D0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BCCD" w14:textId="77777777" w:rsidR="00D71BD2" w:rsidRDefault="005D17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2B458C" wp14:editId="3C180625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C43"/>
    <w:multiLevelType w:val="multilevel"/>
    <w:tmpl w:val="F3828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8F6663"/>
    <w:multiLevelType w:val="multilevel"/>
    <w:tmpl w:val="7ED64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OytDS3sLA0NjBR0lEKTi0uzszPAykwqQUA33qiiywAAAA="/>
  </w:docVars>
  <w:rsids>
    <w:rsidRoot w:val="00D71BD2"/>
    <w:rsid w:val="000551A8"/>
    <w:rsid w:val="000625CA"/>
    <w:rsid w:val="00120D54"/>
    <w:rsid w:val="001F20DA"/>
    <w:rsid w:val="00343C1F"/>
    <w:rsid w:val="003B51DC"/>
    <w:rsid w:val="004C619A"/>
    <w:rsid w:val="00510518"/>
    <w:rsid w:val="005655DE"/>
    <w:rsid w:val="005D17A8"/>
    <w:rsid w:val="006C47A5"/>
    <w:rsid w:val="00723D0D"/>
    <w:rsid w:val="007303D7"/>
    <w:rsid w:val="00872CFC"/>
    <w:rsid w:val="008D10DB"/>
    <w:rsid w:val="009829B6"/>
    <w:rsid w:val="009A514D"/>
    <w:rsid w:val="00A325BC"/>
    <w:rsid w:val="00BC3629"/>
    <w:rsid w:val="00C1634C"/>
    <w:rsid w:val="00C22684"/>
    <w:rsid w:val="00D07169"/>
    <w:rsid w:val="00D71BD2"/>
    <w:rsid w:val="00DA3178"/>
    <w:rsid w:val="00DD372E"/>
    <w:rsid w:val="00E037E4"/>
    <w:rsid w:val="00E372A4"/>
    <w:rsid w:val="00E53192"/>
    <w:rsid w:val="00E84F87"/>
    <w:rsid w:val="00EA130C"/>
    <w:rsid w:val="00E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32814"/>
  <w15:docId w15:val="{8226CBC7-ADBA-4D07-9094-110038E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226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C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55DE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DE"/>
  </w:style>
  <w:style w:type="paragraph" w:styleId="Footer">
    <w:name w:val="footer"/>
    <w:basedOn w:val="Normal"/>
    <w:link w:val="FooterChar"/>
    <w:uiPriority w:val="99"/>
    <w:unhideWhenUsed/>
    <w:rsid w:val="0056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.radio-canada.ca/nouvelle/230457/vaccin-employes?depuisRecherche=tru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ustmyscience.com/employee-laboratoire-accident-virus-associe-vario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bulletin.org/2019/02/human-error-in-high-biocontainment-labs-a-likely-pandemic-thre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ectioncontroltoday.com/infection-preventionists/are-your-healthcare-workers-armed-right-vaccin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local.it/20181115/mandatory-vaccines-to-continue-in-italy-after-measles-outbreak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dcterms:created xsi:type="dcterms:W3CDTF">2019-12-09T15:10:00Z</dcterms:created>
  <dcterms:modified xsi:type="dcterms:W3CDTF">2019-12-09T15:10:00Z</dcterms:modified>
</cp:coreProperties>
</file>