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F5429" w14:textId="41000063" w:rsidR="00073FEC" w:rsidRPr="00E031CE" w:rsidRDefault="00073FEC" w:rsidP="00073FEC">
      <w:pPr>
        <w:jc w:val="center"/>
        <w:rPr>
          <w:lang w:val="fr-CA"/>
        </w:rPr>
      </w:pPr>
    </w:p>
    <w:p w14:paraId="3ECE64E3" w14:textId="44B81BEE" w:rsidR="00EF2F69" w:rsidRPr="00E031CE" w:rsidRDefault="00C318CD" w:rsidP="001B254C">
      <w:pPr>
        <w:pStyle w:val="CSMLS-Heading"/>
        <w:spacing w:before="100" w:after="100"/>
        <w:rPr>
          <w:lang w:val="fr-CA"/>
        </w:rPr>
      </w:pPr>
      <w:r>
        <w:rPr>
          <w:lang w:val="fr-CA"/>
        </w:rPr>
        <w:t>L’éthique à la carte – Racisme</w:t>
      </w:r>
    </w:p>
    <w:p w14:paraId="38A3B229" w14:textId="77777777" w:rsidR="00EF2F69" w:rsidRPr="00E031CE" w:rsidRDefault="00EF2F69" w:rsidP="00B75685">
      <w:pPr>
        <w:spacing w:after="0"/>
        <w:rPr>
          <w:rFonts w:ascii="Century Gothic" w:hAnsi="Century Gothic"/>
          <w:b/>
          <w:sz w:val="20"/>
          <w:szCs w:val="20"/>
          <w:lang w:val="fr-CA"/>
        </w:rPr>
      </w:pPr>
    </w:p>
    <w:p w14:paraId="31EE7F0C" w14:textId="63F9B401" w:rsidR="00752ED8" w:rsidRPr="00E031CE" w:rsidRDefault="00073FEC" w:rsidP="00752ED8">
      <w:pPr>
        <w:rPr>
          <w:b/>
          <w:lang w:val="fr-CA"/>
        </w:rPr>
      </w:pPr>
      <w:r w:rsidRPr="00E031CE">
        <w:rPr>
          <w:rFonts w:ascii="Century Gothic" w:hAnsi="Century Gothic"/>
          <w:b/>
          <w:sz w:val="20"/>
          <w:szCs w:val="20"/>
          <w:lang w:val="fr-CA"/>
        </w:rPr>
        <w:t>Article</w:t>
      </w:r>
      <w:r w:rsidR="00C318CD">
        <w:rPr>
          <w:rFonts w:ascii="Century Gothic" w:hAnsi="Century Gothic"/>
          <w:b/>
          <w:sz w:val="20"/>
          <w:szCs w:val="20"/>
          <w:lang w:val="fr-CA"/>
        </w:rPr>
        <w:t> :</w:t>
      </w:r>
      <w:r w:rsidRPr="00E031CE">
        <w:rPr>
          <w:rFonts w:ascii="Century Gothic" w:hAnsi="Century Gothic"/>
          <w:b/>
          <w:sz w:val="20"/>
          <w:szCs w:val="20"/>
          <w:lang w:val="fr-CA"/>
        </w:rPr>
        <w:t xml:space="preserve"> </w:t>
      </w:r>
      <w:hyperlink r:id="rId8" w:history="1">
        <w:r w:rsidR="005971BA">
          <w:rPr>
            <w:rStyle w:val="Hyperlink"/>
            <w:b/>
            <w:lang w:val="fr-CA"/>
          </w:rPr>
          <w:t>Mourir du racisme : une enquête sur le sort d'un Autochtone aux urgences jugée inadéquate</w:t>
        </w:r>
      </w:hyperlink>
    </w:p>
    <w:p w14:paraId="400BF24F" w14:textId="2894F011" w:rsidR="00073FEC" w:rsidRPr="00E031CE" w:rsidRDefault="00606363" w:rsidP="00EB3808">
      <w:pPr>
        <w:spacing w:after="100"/>
        <w:rPr>
          <w:rFonts w:ascii="Century Gothic" w:hAnsi="Century Gothic"/>
          <w:b/>
          <w:sz w:val="20"/>
          <w:szCs w:val="20"/>
          <w:lang w:val="fr-CA"/>
        </w:rPr>
      </w:pPr>
      <w:r>
        <w:rPr>
          <w:rFonts w:ascii="Century Gothic" w:hAnsi="Century Gothic"/>
          <w:b/>
          <w:sz w:val="20"/>
          <w:szCs w:val="20"/>
          <w:lang w:val="fr-CA"/>
        </w:rPr>
        <w:t>Quelle a été la situation</w:t>
      </w:r>
      <w:r w:rsidR="00073FEC" w:rsidRPr="00E031CE">
        <w:rPr>
          <w:rFonts w:ascii="Century Gothic" w:hAnsi="Century Gothic"/>
          <w:b/>
          <w:sz w:val="20"/>
          <w:szCs w:val="20"/>
          <w:lang w:val="fr-CA"/>
        </w:rPr>
        <w:t>?</w:t>
      </w:r>
    </w:p>
    <w:p w14:paraId="6D55AC86" w14:textId="60B7CBFD" w:rsidR="00EB3808" w:rsidRPr="00E031CE" w:rsidRDefault="00EB3808" w:rsidP="00752ED8">
      <w:pPr>
        <w:rPr>
          <w:rFonts w:ascii="Rockwell" w:hAnsi="Rockwell"/>
          <w:lang w:val="fr-CA"/>
        </w:rPr>
      </w:pPr>
      <w:r w:rsidRPr="00E031CE">
        <w:rPr>
          <w:rFonts w:ascii="Rockwell" w:hAnsi="Rockwell"/>
          <w:lang w:val="fr-CA"/>
        </w:rPr>
        <w:t xml:space="preserve">Brian </w:t>
      </w:r>
      <w:r w:rsidR="00752ED8" w:rsidRPr="00E031CE">
        <w:rPr>
          <w:rFonts w:ascii="Rockwell" w:hAnsi="Rockwell"/>
          <w:lang w:val="fr-CA"/>
        </w:rPr>
        <w:t>Sinclair</w:t>
      </w:r>
      <w:r w:rsidRPr="00E031CE">
        <w:rPr>
          <w:rFonts w:ascii="Rockwell" w:hAnsi="Rockwell"/>
          <w:lang w:val="fr-CA"/>
        </w:rPr>
        <w:t>,</w:t>
      </w:r>
      <w:r w:rsidR="00752ED8" w:rsidRPr="00E031CE">
        <w:rPr>
          <w:rFonts w:ascii="Rockwell" w:hAnsi="Rockwell"/>
          <w:lang w:val="fr-CA"/>
        </w:rPr>
        <w:t xml:space="preserve"> </w:t>
      </w:r>
      <w:r w:rsidR="00606363">
        <w:rPr>
          <w:rFonts w:ascii="Rockwell" w:hAnsi="Rockwell"/>
          <w:lang w:val="fr-CA"/>
        </w:rPr>
        <w:t>un Autochtone de</w:t>
      </w:r>
      <w:r w:rsidRPr="00E031CE">
        <w:rPr>
          <w:rFonts w:ascii="Rockwell" w:hAnsi="Rockwell"/>
          <w:lang w:val="fr-CA"/>
        </w:rPr>
        <w:t xml:space="preserve"> </w:t>
      </w:r>
      <w:r w:rsidR="00752ED8" w:rsidRPr="00E031CE">
        <w:rPr>
          <w:rFonts w:ascii="Rockwell" w:hAnsi="Rockwell"/>
          <w:lang w:val="fr-CA"/>
        </w:rPr>
        <w:t>45</w:t>
      </w:r>
      <w:r w:rsidR="00606363">
        <w:rPr>
          <w:rFonts w:ascii="Rockwell" w:hAnsi="Rockwell"/>
          <w:lang w:val="fr-CA"/>
        </w:rPr>
        <w:t xml:space="preserve"> ans</w:t>
      </w:r>
      <w:r w:rsidR="003D4AB9">
        <w:rPr>
          <w:rFonts w:ascii="Rockwell" w:hAnsi="Rockwell"/>
          <w:lang w:val="fr-CA"/>
        </w:rPr>
        <w:t xml:space="preserve"> sans domicile fixe et amputé des deux jambes</w:t>
      </w:r>
      <w:r w:rsidR="00752ED8" w:rsidRPr="00E031CE">
        <w:rPr>
          <w:rFonts w:ascii="Rockwell" w:hAnsi="Rockwell"/>
          <w:lang w:val="fr-CA"/>
        </w:rPr>
        <w:t xml:space="preserve">, </w:t>
      </w:r>
      <w:r w:rsidR="003D4AB9">
        <w:rPr>
          <w:rFonts w:ascii="Rockwell" w:hAnsi="Rockwell"/>
          <w:lang w:val="fr-CA"/>
        </w:rPr>
        <w:t xml:space="preserve">s’est présenté à la salle d’urgence d’un hôpital à </w:t>
      </w:r>
      <w:r w:rsidRPr="00E031CE">
        <w:rPr>
          <w:rFonts w:ascii="Rockwell" w:hAnsi="Rockwell"/>
          <w:lang w:val="fr-CA"/>
        </w:rPr>
        <w:t xml:space="preserve">Winnipeg </w:t>
      </w:r>
      <w:r w:rsidR="003D4AB9">
        <w:rPr>
          <w:rFonts w:ascii="Rockwell" w:hAnsi="Rockwell"/>
          <w:lang w:val="fr-CA"/>
        </w:rPr>
        <w:t xml:space="preserve">pour un </w:t>
      </w:r>
      <w:r w:rsidR="003D4AB9" w:rsidRPr="003D4AB9">
        <w:rPr>
          <w:rFonts w:ascii="Rockwell" w:hAnsi="Rockwell"/>
          <w:lang w:val="fr-CA"/>
        </w:rPr>
        <w:t>cathéter</w:t>
      </w:r>
      <w:r w:rsidR="003D4AB9">
        <w:rPr>
          <w:rFonts w:ascii="Rockwell" w:hAnsi="Rockwell"/>
          <w:lang w:val="fr-CA"/>
        </w:rPr>
        <w:t xml:space="preserve"> bloqué et une infection des voies urinaires</w:t>
      </w:r>
      <w:r w:rsidR="00752ED8" w:rsidRPr="00E031CE">
        <w:rPr>
          <w:rFonts w:ascii="Rockwell" w:hAnsi="Rockwell"/>
          <w:lang w:val="fr-CA"/>
        </w:rPr>
        <w:t>.</w:t>
      </w:r>
      <w:r w:rsidRPr="00E031CE">
        <w:rPr>
          <w:rFonts w:ascii="Rockwell" w:hAnsi="Rockwell"/>
          <w:lang w:val="fr-CA"/>
        </w:rPr>
        <w:t xml:space="preserve"> </w:t>
      </w:r>
      <w:r w:rsidR="003D4AB9">
        <w:rPr>
          <w:rFonts w:ascii="Rockwell" w:hAnsi="Rockwell"/>
          <w:lang w:val="fr-CA"/>
        </w:rPr>
        <w:t xml:space="preserve">Trente-quatre heures plus tard, on a retrouvé M. </w:t>
      </w:r>
      <w:r w:rsidR="00752ED8" w:rsidRPr="00E031CE">
        <w:rPr>
          <w:rFonts w:ascii="Rockwell" w:hAnsi="Rockwell"/>
          <w:lang w:val="fr-CA"/>
        </w:rPr>
        <w:t xml:space="preserve">Sinclair </w:t>
      </w:r>
      <w:r w:rsidR="003D4AB9">
        <w:rPr>
          <w:rFonts w:ascii="Rockwell" w:hAnsi="Rockwell"/>
          <w:lang w:val="fr-CA"/>
        </w:rPr>
        <w:t xml:space="preserve">mort dans son fauteuil roulant après avoir patienté aux urgences pendant plus d’un jour sans </w:t>
      </w:r>
      <w:r w:rsidR="0095254E">
        <w:rPr>
          <w:rFonts w:ascii="Rockwell" w:hAnsi="Rockwell"/>
          <w:lang w:val="fr-CA"/>
        </w:rPr>
        <w:t>obtenir de soins.</w:t>
      </w:r>
    </w:p>
    <w:p w14:paraId="1CC53380" w14:textId="2BAF616A" w:rsidR="004E5A40" w:rsidRDefault="004E5A40" w:rsidP="00752ED8">
      <w:pPr>
        <w:rPr>
          <w:rFonts w:ascii="Rockwell" w:hAnsi="Rockwell" w:cs="Arial"/>
          <w:shd w:val="clear" w:color="auto" w:fill="FFFFFF"/>
          <w:lang w:val="fr-CA"/>
        </w:rPr>
      </w:pPr>
      <w:r>
        <w:rPr>
          <w:rFonts w:ascii="Rockwell" w:hAnsi="Rockwell" w:cs="Arial"/>
          <w:shd w:val="clear" w:color="auto" w:fill="FFFFFF"/>
          <w:lang w:val="fr-CA"/>
        </w:rPr>
        <w:t>Un rapport examinant le décès de Brian Sinclair a démontré que quatre membres du public ont approché</w:t>
      </w:r>
      <w:r w:rsidR="009A6EAA">
        <w:rPr>
          <w:rFonts w:ascii="Rockwell" w:hAnsi="Rockwell" w:cs="Arial"/>
          <w:shd w:val="clear" w:color="auto" w:fill="FFFFFF"/>
          <w:lang w:val="fr-CA"/>
        </w:rPr>
        <w:t xml:space="preserve"> le</w:t>
      </w:r>
      <w:r>
        <w:rPr>
          <w:rFonts w:ascii="Rockwell" w:hAnsi="Rockwell" w:cs="Arial"/>
          <w:shd w:val="clear" w:color="auto" w:fill="FFFFFF"/>
          <w:lang w:val="fr-CA"/>
        </w:rPr>
        <w:t xml:space="preserve"> personnel de la salle d’urgence à quatre reprises pour communiquer leurs préoccupat</w:t>
      </w:r>
      <w:r w:rsidR="00A14FDB">
        <w:rPr>
          <w:rFonts w:ascii="Rockwell" w:hAnsi="Rockwell" w:cs="Arial"/>
          <w:shd w:val="clear" w:color="auto" w:fill="FFFFFF"/>
          <w:lang w:val="fr-CA"/>
        </w:rPr>
        <w:t>ions quant à M. Sinclair, mais on les a</w:t>
      </w:r>
      <w:r w:rsidR="00F313BF">
        <w:rPr>
          <w:rFonts w:ascii="Rockwell" w:hAnsi="Rockwell" w:cs="Arial"/>
          <w:shd w:val="clear" w:color="auto" w:fill="FFFFFF"/>
          <w:lang w:val="fr-CA"/>
        </w:rPr>
        <w:t xml:space="preserve"> fondamentalement </w:t>
      </w:r>
      <w:r w:rsidR="00A14FDB">
        <w:rPr>
          <w:rFonts w:ascii="Rockwell" w:hAnsi="Rockwell" w:cs="Arial"/>
          <w:shd w:val="clear" w:color="auto" w:fill="FFFFFF"/>
          <w:lang w:val="fr-CA"/>
        </w:rPr>
        <w:t>ignoré</w:t>
      </w:r>
      <w:r w:rsidR="00F313BF">
        <w:rPr>
          <w:rFonts w:ascii="Rockwell" w:hAnsi="Rockwell" w:cs="Arial"/>
          <w:shd w:val="clear" w:color="auto" w:fill="FFFFFF"/>
          <w:lang w:val="fr-CA"/>
        </w:rPr>
        <w:t>e</w:t>
      </w:r>
      <w:r w:rsidR="00A14FDB">
        <w:rPr>
          <w:rFonts w:ascii="Rockwell" w:hAnsi="Rockwell" w:cs="Arial"/>
          <w:shd w:val="clear" w:color="auto" w:fill="FFFFFF"/>
          <w:lang w:val="fr-CA"/>
        </w:rPr>
        <w:t xml:space="preserve">s. Des travailleurs de la santé et </w:t>
      </w:r>
      <w:r w:rsidR="003A741F">
        <w:rPr>
          <w:rFonts w:ascii="Rockwell" w:hAnsi="Rockwell" w:cs="Arial"/>
          <w:shd w:val="clear" w:color="auto" w:fill="FFFFFF"/>
          <w:lang w:val="fr-CA"/>
        </w:rPr>
        <w:t>des membres du</w:t>
      </w:r>
      <w:r w:rsidR="00A14FDB">
        <w:rPr>
          <w:rFonts w:ascii="Rockwell" w:hAnsi="Rockwell" w:cs="Arial"/>
          <w:shd w:val="clear" w:color="auto" w:fill="FFFFFF"/>
          <w:lang w:val="fr-CA"/>
        </w:rPr>
        <w:t xml:space="preserve"> personnel de sûreté</w:t>
      </w:r>
      <w:r w:rsidR="00F313BF">
        <w:rPr>
          <w:rFonts w:ascii="Rockwell" w:hAnsi="Rockwell" w:cs="Arial"/>
          <w:shd w:val="clear" w:color="auto" w:fill="FFFFFF"/>
          <w:lang w:val="fr-CA"/>
        </w:rPr>
        <w:t xml:space="preserve"> à l’hôpital croyaient que M. Sinclair était un malade sortant, ivre, faisant passer sa gueule de bois, et qui n’avait nulle part où aller (sans abri ou évitant le froid).</w:t>
      </w:r>
    </w:p>
    <w:p w14:paraId="20EEA1A8" w14:textId="77777777" w:rsidR="008844AA" w:rsidRPr="006B5A22" w:rsidRDefault="008844AA" w:rsidP="008844AA">
      <w:pPr>
        <w:rPr>
          <w:rFonts w:ascii="Century Gothic" w:hAnsi="Century Gothic"/>
          <w:sz w:val="20"/>
          <w:szCs w:val="20"/>
          <w:lang w:val="fr-CA"/>
        </w:rPr>
      </w:pPr>
      <w:r w:rsidRPr="00AD3D71">
        <w:rPr>
          <w:rFonts w:ascii="Century Gothic" w:hAnsi="Century Gothic"/>
          <w:b/>
          <w:sz w:val="20"/>
          <w:szCs w:val="20"/>
          <w:lang w:val="fr-CA"/>
        </w:rPr>
        <w:t>Qu’est-ce qui a mal tourné?</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634D1C" w:rsidRPr="00310427" w14:paraId="6AEF12C5" w14:textId="77777777" w:rsidTr="00634D1C">
        <w:tc>
          <w:tcPr>
            <w:tcW w:w="3116" w:type="dxa"/>
          </w:tcPr>
          <w:p w14:paraId="00CA0CA3" w14:textId="01EE57B9" w:rsidR="00634D1C" w:rsidRPr="00E031CE" w:rsidRDefault="00E53A45" w:rsidP="00634D1C">
            <w:pPr>
              <w:jc w:val="center"/>
              <w:rPr>
                <w:rFonts w:ascii="Rockwell" w:hAnsi="Rockwell"/>
                <w:lang w:val="fr-CA"/>
              </w:rPr>
            </w:pPr>
            <w:r>
              <w:rPr>
                <w:rFonts w:ascii="Rockwell" w:hAnsi="Rockwell"/>
                <w:lang w:val="fr-CA"/>
              </w:rPr>
              <w:t>Mépris de la vie humaine</w:t>
            </w:r>
            <w:r w:rsidR="00EB3808" w:rsidRPr="00E031CE">
              <w:rPr>
                <w:rFonts w:ascii="Rockwell" w:hAnsi="Rockwell"/>
                <w:lang w:val="fr-CA"/>
              </w:rPr>
              <w:t xml:space="preserve"> (racism</w:t>
            </w:r>
            <w:r>
              <w:rPr>
                <w:rFonts w:ascii="Rockwell" w:hAnsi="Rockwell"/>
                <w:lang w:val="fr-CA"/>
              </w:rPr>
              <w:t>e</w:t>
            </w:r>
            <w:r w:rsidR="00EB3808" w:rsidRPr="00E031CE">
              <w:rPr>
                <w:rFonts w:ascii="Rockwell" w:hAnsi="Rockwell"/>
                <w:lang w:val="fr-CA"/>
              </w:rPr>
              <w:t>)</w:t>
            </w:r>
          </w:p>
        </w:tc>
        <w:tc>
          <w:tcPr>
            <w:tcW w:w="3117" w:type="dxa"/>
          </w:tcPr>
          <w:p w14:paraId="62536A8E" w14:textId="026F38D6" w:rsidR="00634D1C" w:rsidRPr="00E031CE" w:rsidRDefault="00E53A45" w:rsidP="00634D1C">
            <w:pPr>
              <w:jc w:val="center"/>
              <w:rPr>
                <w:rFonts w:ascii="Rockwell" w:hAnsi="Rockwell"/>
                <w:lang w:val="fr-CA"/>
              </w:rPr>
            </w:pPr>
            <w:r>
              <w:rPr>
                <w:rFonts w:ascii="Rockwell" w:hAnsi="Rockwell"/>
                <w:lang w:val="fr-CA"/>
              </w:rPr>
              <w:t>Manque de responsabilité professionnelle</w:t>
            </w:r>
          </w:p>
        </w:tc>
        <w:tc>
          <w:tcPr>
            <w:tcW w:w="3117" w:type="dxa"/>
          </w:tcPr>
          <w:p w14:paraId="352BC346" w14:textId="13848798" w:rsidR="00634D1C" w:rsidRPr="00E031CE" w:rsidRDefault="00E53A45" w:rsidP="00634D1C">
            <w:pPr>
              <w:jc w:val="center"/>
              <w:rPr>
                <w:rFonts w:ascii="Rockwell" w:hAnsi="Rockwell"/>
                <w:lang w:val="fr-CA"/>
              </w:rPr>
            </w:pPr>
            <w:r>
              <w:rPr>
                <w:rFonts w:ascii="Rockwell" w:hAnsi="Rockwell"/>
                <w:lang w:val="fr-CA"/>
              </w:rPr>
              <w:t>Manque de défense des droits des patients</w:t>
            </w:r>
          </w:p>
        </w:tc>
      </w:tr>
    </w:tbl>
    <w:p w14:paraId="43FA33D3" w14:textId="77777777" w:rsidR="005A6AAF" w:rsidRPr="006B5A22" w:rsidRDefault="005A6AAF" w:rsidP="005A6AAF">
      <w:pPr>
        <w:spacing w:before="240"/>
        <w:rPr>
          <w:rFonts w:ascii="Century Gothic" w:hAnsi="Century Gothic"/>
          <w:b/>
          <w:sz w:val="20"/>
          <w:szCs w:val="20"/>
          <w:lang w:val="fr-CA"/>
        </w:rPr>
      </w:pPr>
      <w:r w:rsidRPr="005752C7">
        <w:rPr>
          <w:rFonts w:ascii="Century Gothic" w:hAnsi="Century Gothic"/>
          <w:b/>
          <w:sz w:val="20"/>
          <w:szCs w:val="20"/>
          <w:lang w:val="fr-CA"/>
        </w:rPr>
        <w:t>Utilisation du code de déontologie</w:t>
      </w:r>
    </w:p>
    <w:p w14:paraId="2D08E436" w14:textId="70A306FB" w:rsidR="00190424" w:rsidRPr="00E031CE" w:rsidRDefault="005A6AAF" w:rsidP="005A6AAF">
      <w:pPr>
        <w:rPr>
          <w:rFonts w:ascii="Rockwell" w:hAnsi="Rockwell"/>
          <w:lang w:val="fr-CA"/>
        </w:rPr>
      </w:pPr>
      <w:r w:rsidRPr="005752C7">
        <w:rPr>
          <w:rFonts w:ascii="Rockwell" w:hAnsi="Rockwell" w:cs="Arial"/>
          <w:lang w:val="fr-CA"/>
        </w:rPr>
        <w:t xml:space="preserve">Le </w:t>
      </w:r>
      <w:hyperlink r:id="rId9" w:history="1">
        <w:r w:rsidRPr="005752C7">
          <w:rPr>
            <w:rStyle w:val="Hyperlink"/>
            <w:rFonts w:ascii="Rockwell" w:hAnsi="Rockwell" w:cs="Arial"/>
            <w:lang w:val="fr-CA"/>
          </w:rPr>
          <w:t>Code de déontologie de la SCSLM</w:t>
        </w:r>
      </w:hyperlink>
      <w:r w:rsidRPr="005752C7">
        <w:rPr>
          <w:rFonts w:ascii="Rockwell" w:hAnsi="Rockwell" w:cs="Arial"/>
          <w:color w:val="3F3F3F"/>
          <w:lang w:val="fr-CA"/>
        </w:rPr>
        <w:t xml:space="preserve"> </w:t>
      </w:r>
      <w:r w:rsidRPr="005752C7">
        <w:rPr>
          <w:rFonts w:ascii="Rockwell" w:hAnsi="Rockwell" w:cs="Arial"/>
          <w:lang w:val="fr-CA"/>
        </w:rPr>
        <w:t xml:space="preserve">vise à définir et à développer les concepts d’éthique intrinsèques contenus dans le </w:t>
      </w:r>
      <w:hyperlink r:id="rId10" w:history="1">
        <w:r w:rsidRPr="005752C7">
          <w:rPr>
            <w:rStyle w:val="Hyperlink"/>
            <w:rFonts w:ascii="Rockwell" w:hAnsi="Rockwell" w:cs="Arial"/>
            <w:lang w:val="fr-CA"/>
          </w:rPr>
          <w:t>Code de conduite professionnelle de la SCSLM</w:t>
        </w:r>
      </w:hyperlink>
      <w:r w:rsidRPr="005752C7">
        <w:rPr>
          <w:rFonts w:ascii="Rockwell" w:hAnsi="Rockwell" w:cs="Arial"/>
          <w:lang w:val="fr-CA"/>
        </w:rPr>
        <w:t>, à documenter les attentes à l’égard du comportement éthique de tous les professionnels de laboratoire médical, et à fournir un cadre lors des évaluations professionnelles et des autoévaluations personnelles. Envisagez comment adhérer à ces codes auraient pu empêcher cette situation. Quels autres codes s’y appliquent?</w:t>
      </w:r>
    </w:p>
    <w:p w14:paraId="57FC69E1" w14:textId="0C7032F7" w:rsidR="00B75685" w:rsidRPr="00E031CE" w:rsidRDefault="005A6AAF" w:rsidP="00C60084">
      <w:pPr>
        <w:spacing w:after="0"/>
        <w:rPr>
          <w:rFonts w:ascii="Rockwell" w:hAnsi="Rockwell"/>
          <w:i/>
          <w:lang w:val="fr-CA"/>
        </w:rPr>
      </w:pPr>
      <w:r w:rsidRPr="00B96378">
        <w:rPr>
          <w:rFonts w:ascii="Rockwell" w:hAnsi="Rockwell"/>
          <w:i/>
          <w:lang w:val="fr-CA"/>
        </w:rPr>
        <w:t xml:space="preserve">Code </w:t>
      </w:r>
      <w:r>
        <w:rPr>
          <w:rFonts w:ascii="Rockwell" w:hAnsi="Rockwell"/>
          <w:i/>
          <w:lang w:val="fr-CA"/>
        </w:rPr>
        <w:t>de déontologie</w:t>
      </w:r>
    </w:p>
    <w:p w14:paraId="3880973E" w14:textId="5D150C35" w:rsidR="00D237C2" w:rsidRPr="00E031CE" w:rsidRDefault="00D237C2" w:rsidP="00C179F4">
      <w:pPr>
        <w:pStyle w:val="ListParagraph"/>
        <w:numPr>
          <w:ilvl w:val="0"/>
          <w:numId w:val="2"/>
        </w:numPr>
        <w:spacing w:after="0"/>
        <w:rPr>
          <w:rFonts w:ascii="Rockwell" w:hAnsi="Rockwell"/>
          <w:lang w:val="fr-CA"/>
        </w:rPr>
      </w:pPr>
      <w:r w:rsidRPr="00E031CE">
        <w:rPr>
          <w:rFonts w:ascii="Rockwell" w:hAnsi="Rockwell"/>
          <w:lang w:val="fr-CA"/>
        </w:rPr>
        <w:t xml:space="preserve">5.1 </w:t>
      </w:r>
      <w:r w:rsidR="00C179F4" w:rsidRPr="00C179F4">
        <w:rPr>
          <w:rFonts w:ascii="Rockwell" w:hAnsi="Rockwell"/>
          <w:lang w:val="fr-CA"/>
        </w:rPr>
        <w:t>Offrir ses services avec dignité et respect envers tous, sans distinction de race, de religion, d'orientation sexuelle, de sexe, d'identité de genre, d'âge, d'état de santé, ou d'incapacité mentale ou physique.</w:t>
      </w:r>
    </w:p>
    <w:p w14:paraId="7E5CB87D" w14:textId="29DD1078" w:rsidR="00D237C2" w:rsidRPr="00E031CE" w:rsidRDefault="00D237C2" w:rsidP="00C179F4">
      <w:pPr>
        <w:pStyle w:val="ListParagraph"/>
        <w:numPr>
          <w:ilvl w:val="0"/>
          <w:numId w:val="2"/>
        </w:numPr>
        <w:rPr>
          <w:rFonts w:ascii="Rockwell" w:hAnsi="Rockwell"/>
          <w:lang w:val="fr-CA"/>
        </w:rPr>
      </w:pPr>
      <w:r w:rsidRPr="00E031CE">
        <w:rPr>
          <w:rFonts w:ascii="Rockwell" w:hAnsi="Rockwell"/>
          <w:lang w:val="fr-CA"/>
        </w:rPr>
        <w:t xml:space="preserve">3.1 </w:t>
      </w:r>
      <w:r w:rsidR="00C179F4" w:rsidRPr="00C179F4">
        <w:rPr>
          <w:rFonts w:ascii="Rockwell" w:hAnsi="Rockwell"/>
          <w:lang w:val="fr-CA"/>
        </w:rPr>
        <w:t>Réfléchir à ses aptitudes professionnelles et accroître ses connaissances, habiletés, jugements et attitudes par l'entremise de la formation continue.</w:t>
      </w:r>
    </w:p>
    <w:p w14:paraId="7A388CF0" w14:textId="183593B0" w:rsidR="00D237C2" w:rsidRPr="00E031CE" w:rsidRDefault="00D237C2" w:rsidP="00C179F4">
      <w:pPr>
        <w:pStyle w:val="ListParagraph"/>
        <w:numPr>
          <w:ilvl w:val="0"/>
          <w:numId w:val="2"/>
        </w:numPr>
        <w:rPr>
          <w:rFonts w:ascii="Rockwell" w:hAnsi="Rockwell"/>
          <w:lang w:val="fr-CA"/>
        </w:rPr>
      </w:pPr>
      <w:r w:rsidRPr="00E031CE">
        <w:rPr>
          <w:rFonts w:ascii="Rockwell" w:hAnsi="Rockwell"/>
          <w:lang w:val="fr-CA"/>
        </w:rPr>
        <w:t xml:space="preserve">1.6   </w:t>
      </w:r>
      <w:r w:rsidR="00C179F4" w:rsidRPr="00C179F4">
        <w:rPr>
          <w:rFonts w:ascii="Rockwell" w:hAnsi="Rockwell"/>
          <w:lang w:val="fr-CA"/>
        </w:rPr>
        <w:t>Promouvoir les milieux de travail qui favorisent des pratiques sécuritaires, compétentes et éthiques.</w:t>
      </w:r>
    </w:p>
    <w:p w14:paraId="31C33067" w14:textId="642CA3DD" w:rsidR="00B75685" w:rsidRPr="00E031CE" w:rsidRDefault="00C179F4" w:rsidP="00E80AC8">
      <w:pPr>
        <w:spacing w:after="0"/>
        <w:rPr>
          <w:rFonts w:ascii="Rockwell" w:hAnsi="Rockwell"/>
          <w:i/>
          <w:lang w:val="fr-CA"/>
        </w:rPr>
      </w:pPr>
      <w:r w:rsidRPr="00152633">
        <w:rPr>
          <w:rFonts w:ascii="Rockwell" w:hAnsi="Rockwell"/>
          <w:i/>
          <w:lang w:val="fr-CA"/>
        </w:rPr>
        <w:t>Code de conduite professionnelle</w:t>
      </w:r>
    </w:p>
    <w:p w14:paraId="44441E43" w14:textId="682088B2" w:rsidR="00752ED8" w:rsidRPr="00E031CE" w:rsidRDefault="0002051D" w:rsidP="0002051D">
      <w:pPr>
        <w:pStyle w:val="ListParagraph"/>
        <w:numPr>
          <w:ilvl w:val="0"/>
          <w:numId w:val="4"/>
        </w:numPr>
        <w:spacing w:after="100"/>
        <w:rPr>
          <w:rFonts w:ascii="Rockwell" w:hAnsi="Rockwell"/>
          <w:lang w:val="fr-CA"/>
        </w:rPr>
      </w:pPr>
      <w:r w:rsidRPr="0002051D">
        <w:rPr>
          <w:rFonts w:ascii="Rockwell" w:hAnsi="Rockwell"/>
          <w:lang w:val="fr-CA"/>
        </w:rPr>
        <w:t>La vocation des professionnels de laboratoire médical consiste à satisfaire les besoins du public au niveau des soins de santé. Le bien-être du patient et le respect de la dignité de la personne doivent primer en tout temps.</w:t>
      </w:r>
    </w:p>
    <w:p w14:paraId="3F6EB43E" w14:textId="43290655" w:rsidR="00EB3808" w:rsidRPr="00E031CE" w:rsidRDefault="00752ED8" w:rsidP="00EB3808">
      <w:pPr>
        <w:spacing w:after="20"/>
        <w:rPr>
          <w:b/>
          <w:lang w:val="fr-CA"/>
        </w:rPr>
      </w:pPr>
      <w:r w:rsidRPr="00E031CE">
        <w:rPr>
          <w:b/>
          <w:lang w:val="fr-CA"/>
        </w:rPr>
        <w:lastRenderedPageBreak/>
        <w:t>Re</w:t>
      </w:r>
      <w:r w:rsidR="0002051D">
        <w:rPr>
          <w:b/>
          <w:lang w:val="fr-CA"/>
        </w:rPr>
        <w:t>s</w:t>
      </w:r>
      <w:r w:rsidRPr="00E031CE">
        <w:rPr>
          <w:b/>
          <w:lang w:val="fr-CA"/>
        </w:rPr>
        <w:t>source</w:t>
      </w:r>
      <w:r w:rsidR="00270290" w:rsidRPr="00E031CE">
        <w:rPr>
          <w:b/>
          <w:lang w:val="fr-CA"/>
        </w:rPr>
        <w:t>s</w:t>
      </w:r>
    </w:p>
    <w:p w14:paraId="25DE6C96" w14:textId="2B0A60D9" w:rsidR="00474094" w:rsidRPr="00E031CE" w:rsidRDefault="00C0353F" w:rsidP="00270290">
      <w:pPr>
        <w:spacing w:after="20"/>
        <w:rPr>
          <w:u w:val="single"/>
          <w:lang w:val="fr-CA"/>
        </w:rPr>
      </w:pPr>
      <w:hyperlink r:id="rId11" w:history="1">
        <w:r w:rsidR="0002051D">
          <w:rPr>
            <w:rStyle w:val="Hyperlink"/>
            <w:lang w:val="fr-CA"/>
          </w:rPr>
          <w:t>La santé autochtone (page Web produite par la SCSLM)</w:t>
        </w:r>
      </w:hyperlink>
    </w:p>
    <w:p w14:paraId="7CDF969F" w14:textId="4094CF9B" w:rsidR="00270290" w:rsidRDefault="00C0353F" w:rsidP="00270290">
      <w:pPr>
        <w:spacing w:after="20"/>
        <w:rPr>
          <w:rStyle w:val="Hyperlink"/>
          <w:lang w:val="fr-CA"/>
        </w:rPr>
      </w:pPr>
      <w:hyperlink r:id="rId12" w:history="1">
        <w:r w:rsidR="0002051D">
          <w:rPr>
            <w:rStyle w:val="Hyperlink"/>
            <w:lang w:val="fr-CA"/>
          </w:rPr>
          <w:t>3 cours en ligne gratuits (en anglais) sur la réconciliation et la formation autochtone</w:t>
        </w:r>
      </w:hyperlink>
    </w:p>
    <w:p w14:paraId="27ED4653" w14:textId="52A664A1" w:rsidR="00310427" w:rsidRPr="00E031CE" w:rsidRDefault="00310427" w:rsidP="00270290">
      <w:pPr>
        <w:spacing w:after="20"/>
        <w:rPr>
          <w:u w:val="single"/>
          <w:lang w:val="fr-CA"/>
        </w:rPr>
      </w:pPr>
      <w:hyperlink r:id="rId13" w:history="1">
        <w:r w:rsidRPr="00310427">
          <w:rPr>
            <w:rStyle w:val="Hyperlink"/>
            <w:lang w:val="fr-CA"/>
          </w:rPr>
          <w:t>Des signalements ignorés au sujet de Brian Sinclair, montre un rapport</w:t>
        </w:r>
      </w:hyperlink>
      <w:bookmarkStart w:id="0" w:name="_GoBack"/>
      <w:bookmarkEnd w:id="0"/>
    </w:p>
    <w:sectPr w:rsidR="00310427" w:rsidRPr="00E031CE" w:rsidSect="001B254C">
      <w:headerReference w:type="even" r:id="rId14"/>
      <w:headerReference w:type="default" r:id="rId15"/>
      <w:footerReference w:type="even" r:id="rId16"/>
      <w:footerReference w:type="default" r:id="rId17"/>
      <w:headerReference w:type="first" r:id="rId18"/>
      <w:footerReference w:type="first" r:id="rId19"/>
      <w:pgSz w:w="12240" w:h="15840" w:code="1"/>
      <w:pgMar w:top="1440" w:right="1440" w:bottom="1440" w:left="144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BE29" w14:textId="77777777" w:rsidR="00C0353F" w:rsidRDefault="00C0353F" w:rsidP="00073FEC">
      <w:pPr>
        <w:spacing w:after="0" w:line="240" w:lineRule="auto"/>
      </w:pPr>
      <w:r>
        <w:separator/>
      </w:r>
    </w:p>
  </w:endnote>
  <w:endnote w:type="continuationSeparator" w:id="0">
    <w:p w14:paraId="3CDE5009" w14:textId="77777777" w:rsidR="00C0353F" w:rsidRDefault="00C0353F" w:rsidP="00073F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Rockwel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CD552C" w14:textId="77777777" w:rsidR="0002051D" w:rsidRDefault="000205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71FE0" w14:textId="1210AE88" w:rsidR="00073FEC" w:rsidRPr="0002051D" w:rsidRDefault="0002051D" w:rsidP="0002051D">
    <w:pPr>
      <w:jc w:val="center"/>
      <w:rPr>
        <w:rFonts w:ascii="Rockwell" w:hAnsi="Rockwell"/>
        <w:sz w:val="18"/>
        <w:szCs w:val="18"/>
        <w:lang w:val="fr-CA"/>
      </w:rPr>
    </w:pPr>
    <w:r w:rsidRPr="00D00093">
      <w:rPr>
        <w:rFonts w:ascii="Rockwell" w:hAnsi="Rockwell"/>
        <w:sz w:val="18"/>
        <w:szCs w:val="18"/>
        <w:lang w:val="fr-CA"/>
      </w:rPr>
      <w:t xml:space="preserve">Suivez </w:t>
    </w:r>
    <w:r w:rsidR="00C0353F">
      <w:fldChar w:fldCharType="begin"/>
    </w:r>
    <w:r w:rsidR="00C0353F" w:rsidRPr="00310427">
      <w:rPr>
        <w:lang w:val="fr-CA"/>
      </w:rPr>
      <w:instrText xml:space="preserve"> HYPERLINK "https://learn.csmls.org/topclass/login.do?redirectTo=%2Fexpand.do%3Ftemplate%3DCatalogBrowse%26catId%3D1394%26CatalogBrowse%26catId%3D1394%26" </w:instrText>
    </w:r>
    <w:r w:rsidR="00C0353F">
      <w:fldChar w:fldCharType="separate"/>
    </w:r>
    <w:r w:rsidRPr="00D00093">
      <w:rPr>
        <w:rStyle w:val="Hyperlink"/>
        <w:rFonts w:ascii="Rockwell" w:hAnsi="Rockwell"/>
        <w:sz w:val="18"/>
        <w:szCs w:val="18"/>
        <w:lang w:val="fr-CA"/>
      </w:rPr>
      <w:t>le cours gratuit sur le Code de déontologie</w:t>
    </w:r>
    <w:r w:rsidR="00C0353F">
      <w:rPr>
        <w:rStyle w:val="Hyperlink"/>
        <w:rFonts w:ascii="Rockwell" w:hAnsi="Rockwell"/>
        <w:sz w:val="18"/>
        <w:szCs w:val="18"/>
        <w:lang w:val="fr-CA"/>
      </w:rPr>
      <w:fldChar w:fldCharType="end"/>
    </w:r>
    <w:r w:rsidRPr="00D00093">
      <w:rPr>
        <w:rFonts w:ascii="Rockwell" w:hAnsi="Rockwell"/>
        <w:sz w:val="18"/>
        <w:szCs w:val="18"/>
        <w:lang w:val="fr-CA"/>
      </w:rPr>
      <w:t xml:space="preserve"> </w:t>
    </w:r>
    <w:r>
      <w:rPr>
        <w:rFonts w:ascii="Rockwell" w:hAnsi="Rockwell"/>
        <w:sz w:val="18"/>
        <w:szCs w:val="18"/>
        <w:lang w:val="fr-CA"/>
      </w:rPr>
      <w:t>aujourd’hui</w:t>
    </w:r>
    <w:r w:rsidRPr="00D00093">
      <w:rPr>
        <w:rFonts w:ascii="Rockwell" w:hAnsi="Rockwell"/>
        <w:sz w:val="18"/>
        <w:szCs w:val="18"/>
        <w:lang w:val="fr-CA"/>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ADEBF8" w14:textId="77777777" w:rsidR="0002051D" w:rsidRDefault="000205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B504470" w14:textId="77777777" w:rsidR="00C0353F" w:rsidRDefault="00C0353F" w:rsidP="00073FEC">
      <w:pPr>
        <w:spacing w:after="0" w:line="240" w:lineRule="auto"/>
      </w:pPr>
      <w:r>
        <w:separator/>
      </w:r>
    </w:p>
  </w:footnote>
  <w:footnote w:type="continuationSeparator" w:id="0">
    <w:p w14:paraId="1EF5DF14" w14:textId="77777777" w:rsidR="00C0353F" w:rsidRDefault="00C0353F" w:rsidP="00073F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54BA1" w14:textId="77777777" w:rsidR="0002051D" w:rsidRDefault="000205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719D48" w14:textId="68B79D1B" w:rsidR="00073FEC" w:rsidRDefault="00073FEC" w:rsidP="00073FEC">
    <w:pPr>
      <w:pStyle w:val="Header"/>
      <w:jc w:val="center"/>
    </w:pPr>
    <w:r>
      <w:rPr>
        <w:noProof/>
        <w:lang w:eastAsia="en-CA"/>
      </w:rPr>
      <w:drawing>
        <wp:inline distT="0" distB="0" distL="0" distR="0" wp14:anchorId="67130187" wp14:editId="5F2E8763">
          <wp:extent cx="2752725" cy="771928"/>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smls-logo.png"/>
                  <pic:cNvPicPr/>
                </pic:nvPicPr>
                <pic:blipFill>
                  <a:blip r:embed="rId1">
                    <a:extLst>
                      <a:ext uri="{28A0092B-C50C-407E-A947-70E740481C1C}">
                        <a14:useLocalDpi xmlns:a14="http://schemas.microsoft.com/office/drawing/2010/main" val="0"/>
                      </a:ext>
                    </a:extLst>
                  </a:blip>
                  <a:stretch>
                    <a:fillRect/>
                  </a:stretch>
                </pic:blipFill>
                <pic:spPr>
                  <a:xfrm>
                    <a:off x="0" y="0"/>
                    <a:ext cx="2783691" cy="780612"/>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1E66D0" w14:textId="77777777" w:rsidR="0002051D" w:rsidRDefault="000205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2580B"/>
    <w:multiLevelType w:val="hybridMultilevel"/>
    <w:tmpl w:val="E5B6055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6100037D"/>
    <w:multiLevelType w:val="hybridMultilevel"/>
    <w:tmpl w:val="261C4DCC"/>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6A7D7ECC"/>
    <w:multiLevelType w:val="hybridMultilevel"/>
    <w:tmpl w:val="37063DF8"/>
    <w:lvl w:ilvl="0" w:tplc="1009000B">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74A35A97"/>
    <w:multiLevelType w:val="hybridMultilevel"/>
    <w:tmpl w:val="2ABA7530"/>
    <w:lvl w:ilvl="0" w:tplc="1009000B">
      <w:start w:val="1"/>
      <w:numFmt w:val="bullet"/>
      <w:lvlText w:val=""/>
      <w:lvlJc w:val="left"/>
      <w:pPr>
        <w:ind w:left="1440" w:hanging="360"/>
      </w:pPr>
      <w:rPr>
        <w:rFonts w:ascii="Wingdings" w:hAnsi="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KxNDM2sDQxNDIwNDZV0lEKTi0uzszPAykwqQUAMeDdsiwAAAA="/>
  </w:docVars>
  <w:rsids>
    <w:rsidRoot w:val="00073FEC"/>
    <w:rsid w:val="0001481A"/>
    <w:rsid w:val="0002051D"/>
    <w:rsid w:val="00034D2D"/>
    <w:rsid w:val="00073FEC"/>
    <w:rsid w:val="000A4A49"/>
    <w:rsid w:val="00136854"/>
    <w:rsid w:val="001516D8"/>
    <w:rsid w:val="001614A5"/>
    <w:rsid w:val="00161D4D"/>
    <w:rsid w:val="00190424"/>
    <w:rsid w:val="001B254C"/>
    <w:rsid w:val="00205389"/>
    <w:rsid w:val="00270290"/>
    <w:rsid w:val="00310427"/>
    <w:rsid w:val="003A741F"/>
    <w:rsid w:val="003D4AB9"/>
    <w:rsid w:val="003D7D68"/>
    <w:rsid w:val="00421C04"/>
    <w:rsid w:val="004453F6"/>
    <w:rsid w:val="004646B0"/>
    <w:rsid w:val="00474094"/>
    <w:rsid w:val="00474DC9"/>
    <w:rsid w:val="004B5C44"/>
    <w:rsid w:val="004E5A40"/>
    <w:rsid w:val="005260D1"/>
    <w:rsid w:val="005971BA"/>
    <w:rsid w:val="005A6AAF"/>
    <w:rsid w:val="00606363"/>
    <w:rsid w:val="00622E59"/>
    <w:rsid w:val="00634D1C"/>
    <w:rsid w:val="00650EBE"/>
    <w:rsid w:val="00674271"/>
    <w:rsid w:val="00684019"/>
    <w:rsid w:val="006D1BDE"/>
    <w:rsid w:val="00752ED8"/>
    <w:rsid w:val="007A51EA"/>
    <w:rsid w:val="00822DCE"/>
    <w:rsid w:val="008844AA"/>
    <w:rsid w:val="009079E7"/>
    <w:rsid w:val="0095254E"/>
    <w:rsid w:val="009643F7"/>
    <w:rsid w:val="009A3B67"/>
    <w:rsid w:val="009A6714"/>
    <w:rsid w:val="009A6EAA"/>
    <w:rsid w:val="00A053C0"/>
    <w:rsid w:val="00A06A2E"/>
    <w:rsid w:val="00A14FDB"/>
    <w:rsid w:val="00AA717F"/>
    <w:rsid w:val="00B66FE3"/>
    <w:rsid w:val="00B75685"/>
    <w:rsid w:val="00C0353F"/>
    <w:rsid w:val="00C179F4"/>
    <w:rsid w:val="00C318CD"/>
    <w:rsid w:val="00C60084"/>
    <w:rsid w:val="00C71836"/>
    <w:rsid w:val="00D11C09"/>
    <w:rsid w:val="00D237C2"/>
    <w:rsid w:val="00D42174"/>
    <w:rsid w:val="00D5757F"/>
    <w:rsid w:val="00D60761"/>
    <w:rsid w:val="00DA3897"/>
    <w:rsid w:val="00DF0FC8"/>
    <w:rsid w:val="00E031CE"/>
    <w:rsid w:val="00E24F49"/>
    <w:rsid w:val="00E53A45"/>
    <w:rsid w:val="00E7367A"/>
    <w:rsid w:val="00E80AC8"/>
    <w:rsid w:val="00EA66F0"/>
    <w:rsid w:val="00EB3808"/>
    <w:rsid w:val="00EE61E2"/>
    <w:rsid w:val="00EF2F69"/>
    <w:rsid w:val="00F313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6CC81"/>
  <w15:docId w15:val="{D7546778-B1DE-4A59-B61E-EE3686EF53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FEC"/>
    <w:rPr>
      <w:lang w:val="en-CA"/>
    </w:rPr>
  </w:style>
  <w:style w:type="paragraph" w:styleId="Heading1">
    <w:name w:val="heading 1"/>
    <w:basedOn w:val="Normal"/>
    <w:next w:val="Normal"/>
    <w:link w:val="Heading1Char"/>
    <w:uiPriority w:val="9"/>
    <w:qFormat/>
    <w:rsid w:val="00073FE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3F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3FEC"/>
    <w:rPr>
      <w:lang w:val="en-CA"/>
    </w:rPr>
  </w:style>
  <w:style w:type="paragraph" w:styleId="Footer">
    <w:name w:val="footer"/>
    <w:basedOn w:val="Normal"/>
    <w:link w:val="FooterChar"/>
    <w:uiPriority w:val="99"/>
    <w:unhideWhenUsed/>
    <w:rsid w:val="00073F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3FEC"/>
    <w:rPr>
      <w:lang w:val="en-CA"/>
    </w:rPr>
  </w:style>
  <w:style w:type="paragraph" w:styleId="ListParagraph">
    <w:name w:val="List Paragraph"/>
    <w:basedOn w:val="Normal"/>
    <w:uiPriority w:val="34"/>
    <w:qFormat/>
    <w:rsid w:val="00073FEC"/>
    <w:pPr>
      <w:ind w:left="720"/>
      <w:contextualSpacing/>
    </w:pPr>
  </w:style>
  <w:style w:type="character" w:styleId="Hyperlink">
    <w:name w:val="Hyperlink"/>
    <w:basedOn w:val="DefaultParagraphFont"/>
    <w:uiPriority w:val="99"/>
    <w:unhideWhenUsed/>
    <w:rsid w:val="00073FEC"/>
    <w:rPr>
      <w:color w:val="0000FF"/>
      <w:u w:val="single"/>
    </w:rPr>
  </w:style>
  <w:style w:type="character" w:customStyle="1" w:styleId="Heading1Char">
    <w:name w:val="Heading 1 Char"/>
    <w:basedOn w:val="DefaultParagraphFont"/>
    <w:link w:val="Heading1"/>
    <w:uiPriority w:val="9"/>
    <w:rsid w:val="00073FEC"/>
    <w:rPr>
      <w:rFonts w:asciiTheme="majorHAnsi" w:eastAsiaTheme="majorEastAsia" w:hAnsiTheme="majorHAnsi" w:cstheme="majorBidi"/>
      <w:color w:val="2F5496" w:themeColor="accent1" w:themeShade="BF"/>
      <w:sz w:val="32"/>
      <w:szCs w:val="32"/>
      <w:lang w:val="en-CA"/>
    </w:rPr>
  </w:style>
  <w:style w:type="character" w:customStyle="1" w:styleId="UnresolvedMention1">
    <w:name w:val="Unresolved Mention1"/>
    <w:basedOn w:val="DefaultParagraphFont"/>
    <w:uiPriority w:val="99"/>
    <w:semiHidden/>
    <w:unhideWhenUsed/>
    <w:rsid w:val="00073FEC"/>
    <w:rPr>
      <w:color w:val="808080"/>
      <w:shd w:val="clear" w:color="auto" w:fill="E6E6E6"/>
    </w:rPr>
  </w:style>
  <w:style w:type="character" w:styleId="FollowedHyperlink">
    <w:name w:val="FollowedHyperlink"/>
    <w:basedOn w:val="DefaultParagraphFont"/>
    <w:uiPriority w:val="99"/>
    <w:semiHidden/>
    <w:unhideWhenUsed/>
    <w:rsid w:val="00190424"/>
    <w:rPr>
      <w:color w:val="954F72" w:themeColor="followedHyperlink"/>
      <w:u w:val="single"/>
    </w:rPr>
  </w:style>
  <w:style w:type="paragraph" w:customStyle="1" w:styleId="CSMLS-Heading">
    <w:name w:val="CSMLS-Heading"/>
    <w:link w:val="CSMLS-HeadingChar"/>
    <w:qFormat/>
    <w:rsid w:val="00EF2F69"/>
    <w:pPr>
      <w:keepLines/>
      <w:suppressAutoHyphens/>
      <w:spacing w:before="160" w:line="240" w:lineRule="auto"/>
      <w:outlineLvl w:val="0"/>
    </w:pPr>
    <w:rPr>
      <w:rFonts w:ascii="Century Gothic" w:eastAsia="MS Mincho" w:hAnsi="Century Gothic" w:cs="Times New Roman"/>
      <w:color w:val="0078AE"/>
      <w:sz w:val="32"/>
      <w:szCs w:val="24"/>
      <w:lang w:val="en-CA"/>
    </w:rPr>
  </w:style>
  <w:style w:type="character" w:customStyle="1" w:styleId="CSMLS-HeadingChar">
    <w:name w:val="CSMLS-Heading Char"/>
    <w:link w:val="CSMLS-Heading"/>
    <w:rsid w:val="00EF2F69"/>
    <w:rPr>
      <w:rFonts w:ascii="Century Gothic" w:eastAsia="MS Mincho" w:hAnsi="Century Gothic" w:cs="Times New Roman"/>
      <w:color w:val="0078AE"/>
      <w:sz w:val="32"/>
      <w:szCs w:val="24"/>
      <w:lang w:val="en-CA"/>
    </w:rPr>
  </w:style>
  <w:style w:type="paragraph" w:styleId="BalloonText">
    <w:name w:val="Balloon Text"/>
    <w:basedOn w:val="Normal"/>
    <w:link w:val="BalloonTextChar"/>
    <w:uiPriority w:val="99"/>
    <w:semiHidden/>
    <w:unhideWhenUsed/>
    <w:rsid w:val="005260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60D1"/>
    <w:rPr>
      <w:rFonts w:ascii="Tahoma" w:hAnsi="Tahoma" w:cs="Tahoma"/>
      <w:sz w:val="16"/>
      <w:szCs w:val="16"/>
      <w:lang w:val="en-CA"/>
    </w:rPr>
  </w:style>
  <w:style w:type="character" w:customStyle="1" w:styleId="UnresolvedMention2">
    <w:name w:val="Unresolved Mention2"/>
    <w:basedOn w:val="DefaultParagraphFont"/>
    <w:uiPriority w:val="99"/>
    <w:semiHidden/>
    <w:unhideWhenUsed/>
    <w:rsid w:val="0001481A"/>
    <w:rPr>
      <w:color w:val="605E5C"/>
      <w:shd w:val="clear" w:color="auto" w:fill="E1DFDD"/>
    </w:rPr>
  </w:style>
  <w:style w:type="table" w:styleId="TableGrid">
    <w:name w:val="Table Grid"/>
    <w:basedOn w:val="TableNormal"/>
    <w:uiPriority w:val="39"/>
    <w:rsid w:val="00634D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42174"/>
    <w:rPr>
      <w:sz w:val="16"/>
      <w:szCs w:val="16"/>
    </w:rPr>
  </w:style>
  <w:style w:type="paragraph" w:styleId="CommentText">
    <w:name w:val="annotation text"/>
    <w:basedOn w:val="Normal"/>
    <w:link w:val="CommentTextChar"/>
    <w:uiPriority w:val="99"/>
    <w:semiHidden/>
    <w:unhideWhenUsed/>
    <w:rsid w:val="00D42174"/>
    <w:pPr>
      <w:spacing w:line="240" w:lineRule="auto"/>
    </w:pPr>
    <w:rPr>
      <w:sz w:val="20"/>
      <w:szCs w:val="20"/>
    </w:rPr>
  </w:style>
  <w:style w:type="character" w:customStyle="1" w:styleId="CommentTextChar">
    <w:name w:val="Comment Text Char"/>
    <w:basedOn w:val="DefaultParagraphFont"/>
    <w:link w:val="CommentText"/>
    <w:uiPriority w:val="99"/>
    <w:semiHidden/>
    <w:rsid w:val="00D42174"/>
    <w:rPr>
      <w:sz w:val="20"/>
      <w:szCs w:val="20"/>
      <w:lang w:val="en-CA"/>
    </w:rPr>
  </w:style>
  <w:style w:type="paragraph" w:styleId="CommentSubject">
    <w:name w:val="annotation subject"/>
    <w:basedOn w:val="CommentText"/>
    <w:next w:val="CommentText"/>
    <w:link w:val="CommentSubjectChar"/>
    <w:uiPriority w:val="99"/>
    <w:semiHidden/>
    <w:unhideWhenUsed/>
    <w:rsid w:val="00D42174"/>
    <w:rPr>
      <w:b/>
      <w:bCs/>
    </w:rPr>
  </w:style>
  <w:style w:type="character" w:customStyle="1" w:styleId="CommentSubjectChar">
    <w:name w:val="Comment Subject Char"/>
    <w:basedOn w:val="CommentTextChar"/>
    <w:link w:val="CommentSubject"/>
    <w:uiPriority w:val="99"/>
    <w:semiHidden/>
    <w:rsid w:val="00D42174"/>
    <w:rPr>
      <w:b/>
      <w:bCs/>
      <w:sz w:val="20"/>
      <w:szCs w:val="20"/>
      <w:lang w:val="en-CA"/>
    </w:rPr>
  </w:style>
  <w:style w:type="paragraph" w:styleId="Revision">
    <w:name w:val="Revision"/>
    <w:hidden/>
    <w:uiPriority w:val="99"/>
    <w:semiHidden/>
    <w:rsid w:val="001614A5"/>
    <w:pPr>
      <w:spacing w:after="0" w:line="240" w:lineRule="auto"/>
    </w:pPr>
    <w:rPr>
      <w:lang w:val="en-CA"/>
    </w:rPr>
  </w:style>
  <w:style w:type="character" w:customStyle="1" w:styleId="UnresolvedMention3">
    <w:name w:val="Unresolved Mention3"/>
    <w:basedOn w:val="DefaultParagraphFont"/>
    <w:uiPriority w:val="99"/>
    <w:semiHidden/>
    <w:unhideWhenUsed/>
    <w:rsid w:val="00270290"/>
    <w:rPr>
      <w:color w:val="605E5C"/>
      <w:shd w:val="clear" w:color="auto" w:fill="E1DFDD"/>
    </w:rPr>
  </w:style>
  <w:style w:type="character" w:styleId="UnresolvedMention">
    <w:name w:val="Unresolved Mention"/>
    <w:basedOn w:val="DefaultParagraphFont"/>
    <w:uiPriority w:val="99"/>
    <w:semiHidden/>
    <w:unhideWhenUsed/>
    <w:rsid w:val="003104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i.radio-canada.ca/nouvelle/1056866/brian-sinclair-autochtone-mort-urgences-winnipeg-rapport-groupe-travail" TargetMode="External"/><Relationship Id="rId13" Type="http://schemas.openxmlformats.org/officeDocument/2006/relationships/hyperlink" Target="https://ici.radio-canada.ca/nouvelle/630675/rapport-confidentiel-office-regional-sante-winnipeg-brian-sinclair"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humanrightscareers.com/magazine/3-free-online-courses-on-reconciliation-and-indigenous-education/"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smls.org/Perfectionnement-professionnel/Evaluations-de-cours/Ressource-sur-la-sante-autochtone.aspx?lang=fr-CA"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csmls.org/About-Us/Our-Members/Code-of-Conduct.aspx?lang=fr-CA"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csmls.org/A-propos-de-nous/Nos-membres/Code-de-deontologie.aspx?lang=fr-CA"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Vancouver.XSL" StyleName="Vancouver" Version="1"/>
</file>

<file path=customXml/itemProps1.xml><?xml version="1.0" encoding="utf-8"?>
<ds:datastoreItem xmlns:ds="http://schemas.openxmlformats.org/officeDocument/2006/customXml" ds:itemID="{C1AEEA9F-21F6-4920-84B6-636471891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Pages>
  <Words>506</Words>
  <Characters>2889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Mantifel, Lisa</dc:creator>
  <cp:lastModifiedBy>Laura Zychla</cp:lastModifiedBy>
  <cp:revision>12</cp:revision>
  <dcterms:created xsi:type="dcterms:W3CDTF">2019-07-16T12:03:00Z</dcterms:created>
  <dcterms:modified xsi:type="dcterms:W3CDTF">2019-07-22T15:46:00Z</dcterms:modified>
</cp:coreProperties>
</file>