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6E3794" w14:textId="77777777" w:rsidR="00815E36" w:rsidRPr="00815E36" w:rsidRDefault="00815E3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entury Gothic" w:eastAsia="Century Gothic" w:hAnsi="Century Gothic" w:cs="Century Gothic"/>
          <w:color w:val="0078AE"/>
          <w:sz w:val="10"/>
          <w:szCs w:val="10"/>
          <w:lang w:val="fr-CA"/>
        </w:rPr>
      </w:pPr>
      <w:bookmarkStart w:id="0" w:name="_GoBack"/>
      <w:bookmarkEnd w:id="0"/>
    </w:p>
    <w:p w14:paraId="17A1DE36" w14:textId="47C39E44" w:rsidR="00BC51F0" w:rsidRPr="00266700" w:rsidRDefault="00ED42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entury Gothic" w:eastAsia="Century Gothic" w:hAnsi="Century Gothic" w:cs="Century Gothic"/>
          <w:color w:val="0078AE"/>
          <w:sz w:val="32"/>
          <w:szCs w:val="32"/>
          <w:lang w:val="fr-CA"/>
        </w:rPr>
      </w:pPr>
      <w:r w:rsidRPr="00266700">
        <w:rPr>
          <w:rFonts w:ascii="Century Gothic" w:eastAsia="Century Gothic" w:hAnsi="Century Gothic" w:cs="Century Gothic"/>
          <w:color w:val="0078AE"/>
          <w:sz w:val="32"/>
          <w:szCs w:val="32"/>
          <w:lang w:val="fr-CA"/>
        </w:rPr>
        <w:t>L’éthique à la carte</w:t>
      </w:r>
      <w:r w:rsidR="00A80AA2" w:rsidRPr="00266700">
        <w:rPr>
          <w:rFonts w:ascii="Century Gothic" w:eastAsia="Century Gothic" w:hAnsi="Century Gothic" w:cs="Century Gothic"/>
          <w:color w:val="0078AE"/>
          <w:sz w:val="32"/>
          <w:szCs w:val="32"/>
          <w:lang w:val="fr-CA"/>
        </w:rPr>
        <w:t xml:space="preserve"> –</w:t>
      </w:r>
      <w:r w:rsidR="001C6F1A" w:rsidRPr="00266700">
        <w:rPr>
          <w:rFonts w:ascii="Century Gothic" w:eastAsia="Century Gothic" w:hAnsi="Century Gothic" w:cs="Century Gothic"/>
          <w:color w:val="0078AE"/>
          <w:sz w:val="32"/>
          <w:szCs w:val="32"/>
          <w:lang w:val="fr-CA"/>
        </w:rPr>
        <w:t xml:space="preserve"> </w:t>
      </w:r>
      <w:r w:rsidRPr="00266700">
        <w:rPr>
          <w:rFonts w:ascii="Century Gothic" w:eastAsia="Century Gothic" w:hAnsi="Century Gothic" w:cs="Century Gothic"/>
          <w:color w:val="0078AE"/>
          <w:sz w:val="32"/>
          <w:szCs w:val="32"/>
          <w:lang w:val="fr-CA"/>
        </w:rPr>
        <w:t>Injections illégales</w:t>
      </w:r>
    </w:p>
    <w:p w14:paraId="3C9B60CD" w14:textId="77777777" w:rsidR="00F02A2F" w:rsidRPr="00266700" w:rsidRDefault="00F02A2F" w:rsidP="00815E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78AE"/>
          <w:sz w:val="10"/>
          <w:szCs w:val="10"/>
          <w:lang w:val="fr-CA"/>
        </w:rPr>
      </w:pPr>
    </w:p>
    <w:p w14:paraId="37D673F1" w14:textId="2B771B8E" w:rsidR="00BC51F0" w:rsidRPr="00266700" w:rsidRDefault="00A80A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entury Gothic" w:eastAsia="Rockwell" w:hAnsi="Century Gothic" w:cstheme="majorHAnsi"/>
          <w:b/>
          <w:sz w:val="20"/>
          <w:szCs w:val="20"/>
          <w:lang w:val="fr-CA"/>
        </w:rPr>
      </w:pPr>
      <w:r w:rsidRPr="00266700">
        <w:rPr>
          <w:rFonts w:ascii="Century Gothic" w:eastAsia="Century Gothic" w:hAnsi="Century Gothic" w:cstheme="majorHAnsi"/>
          <w:b/>
          <w:color w:val="000000"/>
          <w:sz w:val="20"/>
          <w:szCs w:val="20"/>
          <w:lang w:val="fr-CA"/>
        </w:rPr>
        <w:t>Article</w:t>
      </w:r>
      <w:r w:rsidR="00AB30C9" w:rsidRPr="00266700">
        <w:rPr>
          <w:rFonts w:ascii="Century Gothic" w:eastAsia="Century Gothic" w:hAnsi="Century Gothic" w:cstheme="majorHAnsi"/>
          <w:b/>
          <w:color w:val="000000"/>
          <w:sz w:val="20"/>
          <w:szCs w:val="20"/>
          <w:lang w:val="fr-CA"/>
        </w:rPr>
        <w:t xml:space="preserve"> (en anglais) :</w:t>
      </w:r>
      <w:r w:rsidRPr="00266700">
        <w:rPr>
          <w:rFonts w:ascii="Century Gothic" w:eastAsia="Century Gothic" w:hAnsi="Century Gothic" w:cstheme="majorHAnsi"/>
          <w:b/>
          <w:color w:val="000000"/>
          <w:sz w:val="20"/>
          <w:szCs w:val="20"/>
          <w:lang w:val="fr-CA"/>
        </w:rPr>
        <w:t xml:space="preserve"> </w:t>
      </w:r>
      <w:hyperlink r:id="rId7" w:history="1">
        <w:r w:rsidR="00AB30C9" w:rsidRPr="00266700">
          <w:rPr>
            <w:rStyle w:val="Hyperlink"/>
            <w:lang w:val="fr-CA"/>
          </w:rPr>
          <w:t xml:space="preserve">Femme de North </w:t>
        </w:r>
        <w:proofErr w:type="spellStart"/>
        <w:r w:rsidR="00AB30C9" w:rsidRPr="00266700">
          <w:rPr>
            <w:rStyle w:val="Hyperlink"/>
            <w:lang w:val="fr-CA"/>
          </w:rPr>
          <w:t>Andover</w:t>
        </w:r>
        <w:proofErr w:type="spellEnd"/>
        <w:r w:rsidR="00AB30C9" w:rsidRPr="00266700">
          <w:rPr>
            <w:rStyle w:val="Hyperlink"/>
            <w:lang w:val="fr-CA"/>
          </w:rPr>
          <w:t xml:space="preserve"> fait face à des accusations relevant d</w:t>
        </w:r>
        <w:r w:rsidR="00B365D5" w:rsidRPr="00266700">
          <w:rPr>
            <w:rStyle w:val="Hyperlink"/>
            <w:lang w:val="fr-CA"/>
          </w:rPr>
          <w:t>u</w:t>
        </w:r>
        <w:r w:rsidR="00AB30C9" w:rsidRPr="00266700">
          <w:rPr>
            <w:rStyle w:val="Hyperlink"/>
            <w:lang w:val="fr-CA"/>
          </w:rPr>
          <w:t xml:space="preserve"> fédéral suite </w:t>
        </w:r>
        <w:r w:rsidR="00B365D5" w:rsidRPr="00266700">
          <w:rPr>
            <w:rStyle w:val="Hyperlink"/>
            <w:lang w:val="fr-CA"/>
          </w:rPr>
          <w:t>à des</w:t>
        </w:r>
        <w:r w:rsidR="00AB30C9" w:rsidRPr="00266700">
          <w:rPr>
            <w:rStyle w:val="Hyperlink"/>
            <w:lang w:val="fr-CA"/>
          </w:rPr>
          <w:t xml:space="preserve"> allégations qu'elle avait fourni des injections illégales dans les fesses pendant de nombreuses années, mettant ses clients en danger</w:t>
        </w:r>
      </w:hyperlink>
    </w:p>
    <w:p w14:paraId="392AB27A" w14:textId="36E587AE" w:rsidR="00BC51F0" w:rsidRPr="00266700" w:rsidRDefault="003918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entury Gothic" w:eastAsia="Century Gothic" w:hAnsi="Century Gothic" w:cs="Century Gothic"/>
          <w:b/>
          <w:color w:val="000000"/>
          <w:sz w:val="20"/>
          <w:szCs w:val="20"/>
          <w:lang w:val="fr-CA"/>
        </w:rPr>
      </w:pPr>
      <w:r w:rsidRPr="00266700">
        <w:rPr>
          <w:rStyle w:val="Strong"/>
          <w:lang w:val="fr-CA"/>
        </w:rPr>
        <w:t>Quelle a été la situation?</w:t>
      </w:r>
    </w:p>
    <w:p w14:paraId="03FB0976" w14:textId="3D564CAF" w:rsidR="001F265A" w:rsidRPr="00266700" w:rsidRDefault="00B365D5" w:rsidP="001F265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Rockwell" w:hAnsi="Times New Roman" w:cs="Times New Roman"/>
          <w:lang w:val="fr-CA" w:eastAsia="ja-JP"/>
        </w:rPr>
      </w:pPr>
      <w:r w:rsidRPr="00266700">
        <w:rPr>
          <w:rFonts w:ascii="Rockwell" w:eastAsia="Rockwell" w:hAnsi="Rockwell" w:cs="Rockwell"/>
          <w:lang w:val="fr-CA"/>
        </w:rPr>
        <w:t xml:space="preserve">Une femme a été inculpée au niveau fédéral après avoir prétendument exécuté des injections illégales dans les fesses et au visage pendant plusieurs années à partir de son domicile. Deux témoins de la région de Boston ont </w:t>
      </w:r>
      <w:r w:rsidR="00085346" w:rsidRPr="00266700">
        <w:rPr>
          <w:rFonts w:ascii="Rockwell" w:eastAsia="Rockwell" w:hAnsi="Rockwell" w:cs="Rockwell"/>
          <w:lang w:val="fr-CA"/>
        </w:rPr>
        <w:t>rapporté</w:t>
      </w:r>
      <w:r w:rsidRPr="00266700">
        <w:rPr>
          <w:rFonts w:ascii="Rockwell" w:eastAsia="Rockwell" w:hAnsi="Rockwell" w:cs="Rockwell"/>
          <w:lang w:val="fr-CA"/>
        </w:rPr>
        <w:t xml:space="preserve"> que la femme en question leur a</w:t>
      </w:r>
      <w:r w:rsidR="00085346" w:rsidRPr="00266700">
        <w:rPr>
          <w:rFonts w:ascii="Rockwell" w:eastAsia="Rockwell" w:hAnsi="Rockwell" w:cs="Rockwell"/>
          <w:lang w:val="fr-CA"/>
        </w:rPr>
        <w:t>vait</w:t>
      </w:r>
      <w:r w:rsidRPr="00266700">
        <w:rPr>
          <w:rFonts w:ascii="Rockwell" w:eastAsia="Rockwell" w:hAnsi="Rockwell" w:cs="Rockwell"/>
          <w:lang w:val="fr-CA"/>
        </w:rPr>
        <w:t xml:space="preserve"> dit qu’ils recevaient une injection d’acide hyaluronique, une substance légale souvent utilisée pour combler les rides et les lèvres. Un laboratoire a déterminé que le liquide saisi du domicile de l’accusée était </w:t>
      </w:r>
      <w:r w:rsidR="00085346" w:rsidRPr="00266700">
        <w:rPr>
          <w:rFonts w:ascii="Rockwell" w:eastAsia="Rockwell" w:hAnsi="Rockwell" w:cs="Rockwell"/>
          <w:lang w:val="fr-CA"/>
        </w:rPr>
        <w:t xml:space="preserve">de </w:t>
      </w:r>
      <w:r w:rsidRPr="00266700">
        <w:rPr>
          <w:rFonts w:ascii="Rockwell" w:eastAsia="Rockwell" w:hAnsi="Rockwell" w:cs="Rockwell"/>
          <w:lang w:val="fr-CA"/>
        </w:rPr>
        <w:t>l’huile de silicone, un liquide non autorisé par la FDA pour l’amélioration corporelle</w:t>
      </w:r>
      <w:r w:rsidR="00E56C62" w:rsidRPr="00266700">
        <w:rPr>
          <w:rFonts w:ascii="Rockwell" w:eastAsia="Rockwell" w:hAnsi="Rockwell" w:cs="Rockwell"/>
          <w:lang w:val="fr-CA"/>
        </w:rPr>
        <w:t>.</w:t>
      </w:r>
    </w:p>
    <w:p w14:paraId="49D418C6" w14:textId="106E48C3" w:rsidR="00BC51F0" w:rsidRPr="00266700" w:rsidRDefault="003918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entury Gothic" w:eastAsia="Century Gothic" w:hAnsi="Century Gothic" w:cs="Century Gothic"/>
          <w:b/>
          <w:color w:val="000000"/>
          <w:sz w:val="20"/>
          <w:szCs w:val="20"/>
          <w:lang w:val="fr-CA"/>
        </w:rPr>
      </w:pPr>
      <w:r w:rsidRPr="00266700">
        <w:rPr>
          <w:rFonts w:ascii="Century Gothic" w:eastAsia="Century Gothic" w:hAnsi="Century Gothic" w:cs="Century Gothic"/>
          <w:b/>
          <w:color w:val="000000"/>
          <w:sz w:val="20"/>
          <w:szCs w:val="20"/>
          <w:lang w:val="fr-CA"/>
        </w:rPr>
        <w:t>Qu’est-ce qui a mal tourné?</w:t>
      </w:r>
    </w:p>
    <w:tbl>
      <w:tblPr>
        <w:tblStyle w:val="a"/>
        <w:tblW w:w="93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943"/>
        <w:gridCol w:w="3119"/>
        <w:gridCol w:w="3288"/>
      </w:tblGrid>
      <w:tr w:rsidR="003918A1" w:rsidRPr="00266700" w14:paraId="74432435" w14:textId="77777777" w:rsidTr="003918A1">
        <w:tc>
          <w:tcPr>
            <w:tcW w:w="2943" w:type="dxa"/>
          </w:tcPr>
          <w:p w14:paraId="075C85FF" w14:textId="1DC57F43" w:rsidR="003918A1" w:rsidRPr="00266700" w:rsidRDefault="003918A1" w:rsidP="00914AF0">
            <w:pPr>
              <w:jc w:val="center"/>
              <w:rPr>
                <w:rFonts w:ascii="Rockwell" w:eastAsia="Rockwell" w:hAnsi="Rockwell" w:cs="Rockwell"/>
                <w:lang w:val="fr-CA"/>
              </w:rPr>
            </w:pPr>
            <w:r w:rsidRPr="00266700">
              <w:rPr>
                <w:rFonts w:ascii="Rockwell" w:eastAsia="Rockwell" w:hAnsi="Rockwell" w:cs="Rockwell"/>
                <w:lang w:val="fr-CA"/>
              </w:rPr>
              <w:t xml:space="preserve">Absence de </w:t>
            </w:r>
            <w:r w:rsidR="00E13465" w:rsidRPr="00266700">
              <w:rPr>
                <w:rFonts w:ascii="Rockwell" w:eastAsia="Rockwell" w:hAnsi="Rockwell" w:cs="Rockwell"/>
                <w:lang w:val="fr-CA"/>
              </w:rPr>
              <w:t>normes de sécurité et de respect envers les patients</w:t>
            </w:r>
          </w:p>
          <w:p w14:paraId="3F6E36AB" w14:textId="77777777" w:rsidR="003918A1" w:rsidRPr="00266700" w:rsidRDefault="003918A1">
            <w:pPr>
              <w:jc w:val="center"/>
              <w:rPr>
                <w:rFonts w:ascii="Rockwell" w:eastAsia="Rockwell" w:hAnsi="Rockwell" w:cs="Rockwell"/>
                <w:sz w:val="16"/>
                <w:szCs w:val="16"/>
                <w:lang w:val="fr-CA"/>
              </w:rPr>
            </w:pPr>
          </w:p>
        </w:tc>
        <w:tc>
          <w:tcPr>
            <w:tcW w:w="3119" w:type="dxa"/>
          </w:tcPr>
          <w:p w14:paraId="23C18774" w14:textId="60208001" w:rsidR="003918A1" w:rsidRPr="00266700" w:rsidRDefault="00E13465" w:rsidP="00F02A2F">
            <w:pPr>
              <w:spacing w:after="100"/>
              <w:jc w:val="center"/>
              <w:rPr>
                <w:rFonts w:ascii="Rockwell" w:eastAsia="Rockwell" w:hAnsi="Rockwell" w:cs="Rockwell"/>
                <w:lang w:val="fr-CA"/>
              </w:rPr>
            </w:pPr>
            <w:r w:rsidRPr="00266700">
              <w:rPr>
                <w:rFonts w:ascii="Rockwell" w:eastAsia="Rockwell" w:hAnsi="Rockwell" w:cs="Rockwell"/>
                <w:lang w:val="fr-CA"/>
              </w:rPr>
              <w:t>Pratique illégale</w:t>
            </w:r>
          </w:p>
        </w:tc>
        <w:tc>
          <w:tcPr>
            <w:tcW w:w="3288" w:type="dxa"/>
          </w:tcPr>
          <w:p w14:paraId="5ADE1B63" w14:textId="5F911248" w:rsidR="003918A1" w:rsidRPr="00266700" w:rsidRDefault="00E13465" w:rsidP="00914AF0">
            <w:pPr>
              <w:jc w:val="center"/>
              <w:rPr>
                <w:rFonts w:ascii="Rockwell" w:eastAsia="Rockwell" w:hAnsi="Rockwell" w:cs="Rockwell"/>
                <w:lang w:val="fr-CA"/>
              </w:rPr>
            </w:pPr>
            <w:r w:rsidRPr="00266700">
              <w:rPr>
                <w:rFonts w:ascii="Rockwell" w:eastAsia="Rockwell" w:hAnsi="Rockwell" w:cs="Rockwell"/>
                <w:lang w:val="fr-CA"/>
              </w:rPr>
              <w:t xml:space="preserve">Insuffisance de </w:t>
            </w:r>
            <w:r w:rsidR="003918A1" w:rsidRPr="00266700">
              <w:rPr>
                <w:rFonts w:ascii="Rockwell" w:eastAsia="Rockwell" w:hAnsi="Rockwell" w:cs="Rockwell"/>
                <w:lang w:val="fr-CA"/>
              </w:rPr>
              <w:t xml:space="preserve">connaissances </w:t>
            </w:r>
            <w:r w:rsidRPr="00266700">
              <w:rPr>
                <w:rFonts w:ascii="Rockwell" w:eastAsia="Rockwell" w:hAnsi="Rockwell" w:cs="Rockwell"/>
                <w:lang w:val="fr-CA"/>
              </w:rPr>
              <w:t>pouvant entraîner des dommages graves</w:t>
            </w:r>
            <w:r w:rsidR="003918A1" w:rsidRPr="00266700">
              <w:rPr>
                <w:rFonts w:ascii="Rockwell" w:eastAsia="Rockwell" w:hAnsi="Rockwell" w:cs="Rockwell"/>
                <w:lang w:val="fr-CA"/>
              </w:rPr>
              <w:t xml:space="preserve"> </w:t>
            </w:r>
          </w:p>
          <w:p w14:paraId="1DA23E77" w14:textId="060076E6" w:rsidR="003918A1" w:rsidRPr="00266700" w:rsidRDefault="003918A1">
            <w:pPr>
              <w:jc w:val="center"/>
              <w:rPr>
                <w:rFonts w:ascii="Rockwell" w:eastAsia="Rockwell" w:hAnsi="Rockwell" w:cs="Rockwell"/>
                <w:lang w:val="fr-CA"/>
              </w:rPr>
            </w:pPr>
          </w:p>
        </w:tc>
      </w:tr>
    </w:tbl>
    <w:p w14:paraId="4162D2BA" w14:textId="77777777" w:rsidR="003918A1" w:rsidRPr="00266700" w:rsidRDefault="003918A1" w:rsidP="003918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entury Gothic" w:eastAsia="Century Gothic" w:hAnsi="Century Gothic" w:cs="Century Gothic"/>
          <w:b/>
          <w:color w:val="000000"/>
          <w:sz w:val="20"/>
          <w:szCs w:val="20"/>
          <w:lang w:val="fr-CA"/>
        </w:rPr>
      </w:pPr>
      <w:r w:rsidRPr="00266700">
        <w:rPr>
          <w:rFonts w:ascii="Century Gothic" w:hAnsi="Century Gothic"/>
          <w:b/>
          <w:sz w:val="20"/>
          <w:szCs w:val="20"/>
          <w:lang w:val="fr-CA"/>
        </w:rPr>
        <w:t>Utilisation du code de déontologie</w:t>
      </w:r>
    </w:p>
    <w:p w14:paraId="073AF627" w14:textId="77777777" w:rsidR="003918A1" w:rsidRPr="00266700" w:rsidRDefault="003918A1" w:rsidP="003918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Rockwell" w:eastAsia="Rockwell" w:hAnsi="Rockwell" w:cs="Rockwell"/>
          <w:color w:val="000000"/>
          <w:lang w:val="fr-CA"/>
        </w:rPr>
      </w:pPr>
      <w:r w:rsidRPr="00266700">
        <w:rPr>
          <w:rFonts w:ascii="Rockwell" w:hAnsi="Rockwell" w:cs="Arial"/>
          <w:lang w:val="fr-CA"/>
        </w:rPr>
        <w:t xml:space="preserve">Le </w:t>
      </w:r>
      <w:hyperlink r:id="rId8" w:history="1">
        <w:r w:rsidRPr="00266700">
          <w:rPr>
            <w:rStyle w:val="Hyperlink"/>
            <w:rFonts w:ascii="Rockwell" w:hAnsi="Rockwell" w:cs="Arial"/>
            <w:lang w:val="fr-CA"/>
          </w:rPr>
          <w:t>Code de déontologie de la SCSLM</w:t>
        </w:r>
      </w:hyperlink>
      <w:r w:rsidRPr="00266700">
        <w:rPr>
          <w:rFonts w:ascii="Rockwell" w:hAnsi="Rockwell" w:cs="Arial"/>
          <w:color w:val="3F3F3F"/>
          <w:lang w:val="fr-CA"/>
        </w:rPr>
        <w:t xml:space="preserve"> </w:t>
      </w:r>
      <w:r w:rsidRPr="00266700">
        <w:rPr>
          <w:rFonts w:ascii="Rockwell" w:hAnsi="Rockwell" w:cs="Arial"/>
          <w:lang w:val="fr-CA"/>
        </w:rPr>
        <w:t xml:space="preserve">vise à définir et à développer les concepts d’éthique intrinsèques contenus dans le </w:t>
      </w:r>
      <w:hyperlink r:id="rId9" w:history="1">
        <w:r w:rsidRPr="00266700">
          <w:rPr>
            <w:rStyle w:val="Hyperlink"/>
            <w:rFonts w:ascii="Rockwell" w:hAnsi="Rockwell" w:cs="Arial"/>
            <w:lang w:val="fr-CA"/>
          </w:rPr>
          <w:t>Code de conduite professionnelle de la SCSLM</w:t>
        </w:r>
      </w:hyperlink>
      <w:r w:rsidRPr="00266700">
        <w:rPr>
          <w:rFonts w:ascii="Rockwell" w:hAnsi="Rockwell" w:cs="Arial"/>
          <w:lang w:val="fr-CA"/>
        </w:rPr>
        <w:t>, à documenter les attentes à l’égard du comportement éthique de tous les professionnels de laboratoire médical, et à fournir un cadre lors des évaluations professionnelles et des autoévaluations personnelles. Envisagez comment adhérer à ces codes auraient pu empêcher cette situation. Quels autres codes s’y appliquent?</w:t>
      </w:r>
    </w:p>
    <w:p w14:paraId="3898E46C" w14:textId="7C01DBB4" w:rsidR="00BC51F0" w:rsidRPr="00266700" w:rsidRDefault="003918A1" w:rsidP="003918A1">
      <w:pPr>
        <w:spacing w:after="0"/>
        <w:rPr>
          <w:rFonts w:ascii="Rockwell" w:eastAsia="Rockwell" w:hAnsi="Rockwell" w:cs="Rockwell"/>
          <w:i/>
          <w:lang w:val="fr-CA"/>
        </w:rPr>
      </w:pPr>
      <w:r w:rsidRPr="00266700">
        <w:rPr>
          <w:rFonts w:ascii="Rockwell" w:hAnsi="Rockwell"/>
          <w:i/>
          <w:lang w:val="fr-CA"/>
        </w:rPr>
        <w:t>Code de déontologie</w:t>
      </w:r>
    </w:p>
    <w:p w14:paraId="7FFFB71C" w14:textId="4FE95FDA" w:rsidR="004C512B" w:rsidRPr="00266700" w:rsidRDefault="004C512B" w:rsidP="00E1346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Rockwell" w:eastAsia="Rockwell" w:hAnsi="Rockwell" w:cs="Rockwell"/>
          <w:lang w:val="fr-CA"/>
        </w:rPr>
      </w:pPr>
      <w:r w:rsidRPr="00266700">
        <w:rPr>
          <w:rFonts w:ascii="Rockwell" w:eastAsia="Rockwell" w:hAnsi="Rockwell" w:cs="Rockwell"/>
          <w:lang w:val="fr-CA"/>
        </w:rPr>
        <w:t>1.</w:t>
      </w:r>
      <w:r w:rsidR="00E13465" w:rsidRPr="00266700">
        <w:rPr>
          <w:rFonts w:ascii="Rockwell" w:eastAsia="Rockwell" w:hAnsi="Rockwell" w:cs="Rockwell"/>
          <w:lang w:val="fr-CA"/>
        </w:rPr>
        <w:t>1</w:t>
      </w:r>
      <w:r w:rsidRPr="00266700">
        <w:rPr>
          <w:rFonts w:ascii="Rockwell" w:eastAsia="Rockwell" w:hAnsi="Rockwell" w:cs="Rockwell"/>
          <w:lang w:val="fr-CA"/>
        </w:rPr>
        <w:t xml:space="preserve"> </w:t>
      </w:r>
      <w:r w:rsidR="00E13465" w:rsidRPr="00266700">
        <w:rPr>
          <w:rFonts w:ascii="Rockwell" w:eastAsia="Rockwell" w:hAnsi="Rockwell" w:cs="Rockwell"/>
          <w:lang w:val="fr-CA"/>
        </w:rPr>
        <w:t>Exercer seulement les disciplines de la profession de laboratoire médical pour lesquels on a reçu la certification de la SCSLM</w:t>
      </w:r>
      <w:r w:rsidRPr="00266700">
        <w:rPr>
          <w:rFonts w:ascii="Rockwell" w:eastAsia="Rockwell" w:hAnsi="Rockwell" w:cs="Rockwell"/>
          <w:lang w:val="fr-CA"/>
        </w:rPr>
        <w:t>.</w:t>
      </w:r>
    </w:p>
    <w:p w14:paraId="1020A1D7" w14:textId="2DAE7A18" w:rsidR="004C512B" w:rsidRPr="00266700" w:rsidRDefault="00E13465" w:rsidP="00E1346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Rockwell" w:eastAsia="Rockwell" w:hAnsi="Rockwell" w:cs="Rockwell"/>
          <w:lang w:val="fr-CA"/>
        </w:rPr>
      </w:pPr>
      <w:r w:rsidRPr="00266700">
        <w:rPr>
          <w:rFonts w:ascii="Rockwell" w:eastAsia="Rockwell" w:hAnsi="Rockwell" w:cs="Rockwell"/>
          <w:lang w:val="fr-CA"/>
        </w:rPr>
        <w:t>1.2</w:t>
      </w:r>
      <w:r w:rsidR="004C512B" w:rsidRPr="00266700">
        <w:rPr>
          <w:rFonts w:ascii="Rockwell" w:eastAsia="Rockwell" w:hAnsi="Rockwell" w:cs="Rockwell"/>
          <w:lang w:val="fr-CA"/>
        </w:rPr>
        <w:t xml:space="preserve"> </w:t>
      </w:r>
      <w:r w:rsidRPr="00266700">
        <w:rPr>
          <w:rFonts w:ascii="Rockwell" w:eastAsia="Rockwell" w:hAnsi="Rockwell" w:cs="Rockwell"/>
          <w:lang w:val="fr-CA"/>
        </w:rPr>
        <w:t>Exécuter uniquement les procédures pour lesquelles la qualification a été reçue ou déléguée officiellement par une autorité institutionnelle appropriée, dont le membre a acquis les connaissances courantes, les habiletés et le jugement nécessaires pour assurer et faire preuve de compétence</w:t>
      </w:r>
      <w:r w:rsidR="004C512B" w:rsidRPr="00266700">
        <w:rPr>
          <w:rFonts w:ascii="Rockwell" w:eastAsia="Rockwell" w:hAnsi="Rockwell" w:cs="Rockwell"/>
          <w:lang w:val="fr-CA"/>
        </w:rPr>
        <w:t>.</w:t>
      </w:r>
    </w:p>
    <w:p w14:paraId="03C3B9F6" w14:textId="4F58FA86" w:rsidR="004C512B" w:rsidRPr="00266700" w:rsidRDefault="00E13465" w:rsidP="00E1346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Rockwell" w:eastAsia="Rockwell" w:hAnsi="Rockwell" w:cs="Rockwell"/>
          <w:lang w:val="fr-CA"/>
        </w:rPr>
      </w:pPr>
      <w:r w:rsidRPr="00266700">
        <w:rPr>
          <w:rFonts w:ascii="Rockwell" w:eastAsia="Rockwell" w:hAnsi="Rockwell" w:cs="Rockwell"/>
          <w:lang w:val="fr-CA"/>
        </w:rPr>
        <w:t>1</w:t>
      </w:r>
      <w:r w:rsidR="004C512B" w:rsidRPr="00266700">
        <w:rPr>
          <w:rFonts w:ascii="Rockwell" w:eastAsia="Rockwell" w:hAnsi="Rockwell" w:cs="Rockwell"/>
          <w:lang w:val="fr-CA"/>
        </w:rPr>
        <w:t xml:space="preserve">.3 </w:t>
      </w:r>
      <w:r w:rsidRPr="00266700">
        <w:rPr>
          <w:rFonts w:ascii="Rockwell" w:eastAsia="Rockwell" w:hAnsi="Rockwell" w:cs="Rockwell"/>
          <w:lang w:val="fr-CA"/>
        </w:rPr>
        <w:t>Reconnaître des situations risquées afin de minimiser les effets nuisibles sur les patients, le personnel et soi-même</w:t>
      </w:r>
      <w:r w:rsidR="004C512B" w:rsidRPr="00266700">
        <w:rPr>
          <w:rFonts w:ascii="Rockwell" w:eastAsia="Rockwell" w:hAnsi="Rockwell" w:cs="Rockwell"/>
          <w:lang w:val="fr-CA"/>
        </w:rPr>
        <w:t>.</w:t>
      </w:r>
    </w:p>
    <w:p w14:paraId="238FCE15" w14:textId="77777777" w:rsidR="00E13465" w:rsidRPr="00266700" w:rsidRDefault="00E13465" w:rsidP="00E1346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Rockwell" w:eastAsia="Rockwell" w:hAnsi="Rockwell" w:cs="Rockwell"/>
          <w:lang w:val="fr-CA"/>
        </w:rPr>
      </w:pPr>
    </w:p>
    <w:p w14:paraId="1A7CB6F1" w14:textId="06C1C925" w:rsidR="00BC51F0" w:rsidRPr="00266700" w:rsidRDefault="004C512B" w:rsidP="004C512B">
      <w:pPr>
        <w:spacing w:after="0"/>
        <w:rPr>
          <w:rFonts w:ascii="Rockwell" w:eastAsia="Rockwell" w:hAnsi="Rockwell" w:cs="Rockwell"/>
          <w:i/>
          <w:lang w:val="fr-CA"/>
        </w:rPr>
      </w:pPr>
      <w:r w:rsidRPr="00266700">
        <w:rPr>
          <w:rFonts w:ascii="Rockwell" w:hAnsi="Rockwell"/>
          <w:i/>
          <w:lang w:val="fr-CA"/>
        </w:rPr>
        <w:t>Code de conduite professionnelle</w:t>
      </w:r>
    </w:p>
    <w:p w14:paraId="2E6E3DDC" w14:textId="06A61249" w:rsidR="004C512B" w:rsidRPr="00266700" w:rsidRDefault="00F779FD" w:rsidP="00F779F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ckwell" w:eastAsia="Rockwell" w:hAnsi="Rockwell" w:cs="Rockwell"/>
          <w:lang w:val="fr-CA"/>
        </w:rPr>
      </w:pPr>
      <w:r w:rsidRPr="00266700">
        <w:rPr>
          <w:rFonts w:ascii="Rockwell" w:eastAsia="Rockwell" w:hAnsi="Rockwell" w:cs="Rockwell"/>
          <w:lang w:val="fr-CA"/>
        </w:rPr>
        <w:t>Les professionnels de laboratoire médical doivent exercer leur profession selon leur compétence professionnelle</w:t>
      </w:r>
      <w:r w:rsidR="004C512B" w:rsidRPr="00266700">
        <w:rPr>
          <w:rFonts w:ascii="Rockwell" w:eastAsia="Rockwell" w:hAnsi="Rockwell" w:cs="Rockwell"/>
          <w:lang w:val="fr-CA"/>
        </w:rPr>
        <w:t>.</w:t>
      </w:r>
    </w:p>
    <w:p w14:paraId="40606E3D" w14:textId="12483EB7" w:rsidR="001C6F1A" w:rsidRPr="00266700" w:rsidRDefault="00F779FD" w:rsidP="00F779F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ckwell" w:eastAsia="Rockwell" w:hAnsi="Rockwell" w:cs="Rockwell"/>
          <w:lang w:val="fr-CA"/>
        </w:rPr>
      </w:pPr>
      <w:r w:rsidRPr="00266700">
        <w:rPr>
          <w:rFonts w:ascii="Rockwell" w:eastAsia="Rockwell" w:hAnsi="Rockwell" w:cs="Rockwell"/>
          <w:lang w:val="fr-CA"/>
        </w:rPr>
        <w:t>Les professionnels de laboratoire médical doivent connaître les lois et règlements régissant la technologie de laboratoire médical et ils doivent les appliquer dans la pratique de leur profession</w:t>
      </w:r>
      <w:r w:rsidR="004C512B" w:rsidRPr="00266700">
        <w:rPr>
          <w:rFonts w:ascii="Rockwell" w:eastAsia="Rockwell" w:hAnsi="Rockwell" w:cs="Rockwell"/>
          <w:lang w:val="fr-CA"/>
        </w:rPr>
        <w:t>.</w:t>
      </w:r>
      <w:r w:rsidR="001C6F1A" w:rsidRPr="00266700">
        <w:rPr>
          <w:rFonts w:ascii="Rockwell" w:eastAsia="Rockwell" w:hAnsi="Rockwell" w:cs="Rockwell"/>
          <w:lang w:val="fr-CA"/>
        </w:rPr>
        <w:t xml:space="preserve"> </w:t>
      </w:r>
    </w:p>
    <w:p w14:paraId="451AFC95" w14:textId="77777777" w:rsidR="001C6F1A" w:rsidRPr="00266700" w:rsidRDefault="001C6F1A" w:rsidP="001C6F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b/>
          <w:color w:val="000000"/>
          <w:sz w:val="16"/>
          <w:szCs w:val="16"/>
          <w:lang w:val="fr-CA"/>
        </w:rPr>
      </w:pPr>
    </w:p>
    <w:p w14:paraId="4AB2A098" w14:textId="6BE07BA1" w:rsidR="001C6F1A" w:rsidRPr="00266700" w:rsidRDefault="00422DFC" w:rsidP="00422D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b/>
          <w:color w:val="000000"/>
          <w:sz w:val="20"/>
          <w:szCs w:val="20"/>
          <w:lang w:val="fr-CA"/>
        </w:rPr>
        <w:sectPr w:rsidR="001C6F1A" w:rsidRPr="00266700" w:rsidSect="00670891">
          <w:headerReference w:type="default" r:id="rId10"/>
          <w:footerReference w:type="default" r:id="rId11"/>
          <w:pgSz w:w="12240" w:h="15840"/>
          <w:pgMar w:top="1418" w:right="1440" w:bottom="1440" w:left="1440" w:header="720" w:footer="420" w:gutter="0"/>
          <w:pgNumType w:start="1"/>
          <w:cols w:space="720"/>
        </w:sectPr>
      </w:pPr>
      <w:r w:rsidRPr="00266700">
        <w:rPr>
          <w:rFonts w:ascii="Century Gothic" w:eastAsia="Century Gothic" w:hAnsi="Century Gothic" w:cs="Century Gothic"/>
          <w:b/>
          <w:color w:val="000000"/>
          <w:sz w:val="20"/>
          <w:szCs w:val="20"/>
          <w:lang w:val="fr-CA"/>
        </w:rPr>
        <w:lastRenderedPageBreak/>
        <w:br/>
      </w:r>
      <w:r w:rsidR="00F02A2F" w:rsidRPr="00266700">
        <w:rPr>
          <w:rFonts w:ascii="Century Gothic" w:eastAsia="Century Gothic" w:hAnsi="Century Gothic" w:cs="Century Gothic"/>
          <w:b/>
          <w:color w:val="000000"/>
          <w:sz w:val="20"/>
          <w:szCs w:val="20"/>
          <w:lang w:val="fr-CA"/>
        </w:rPr>
        <w:t>Articles</w:t>
      </w:r>
      <w:bookmarkStart w:id="1" w:name="_p1z3ubrt5gzc" w:colFirst="0" w:colLast="0"/>
      <w:bookmarkEnd w:id="1"/>
      <w:r w:rsidRPr="00266700">
        <w:rPr>
          <w:rFonts w:ascii="Century Gothic" w:eastAsia="Century Gothic" w:hAnsi="Century Gothic" w:cs="Century Gothic"/>
          <w:b/>
          <w:color w:val="000000"/>
          <w:sz w:val="20"/>
          <w:szCs w:val="20"/>
          <w:lang w:val="fr-CA"/>
        </w:rPr>
        <w:t xml:space="preserve"> pertinents</w:t>
      </w:r>
    </w:p>
    <w:p w14:paraId="337FBC9E" w14:textId="77777777" w:rsidR="00266700" w:rsidRPr="00266700" w:rsidRDefault="00E07598" w:rsidP="00266700">
      <w:pPr>
        <w:spacing w:after="0"/>
        <w:rPr>
          <w:rFonts w:ascii="Rockwell" w:hAnsi="Rockwell"/>
          <w:lang w:val="fr-CA"/>
        </w:rPr>
      </w:pPr>
      <w:hyperlink r:id="rId12" w:history="1">
        <w:r w:rsidR="00266700" w:rsidRPr="00266700">
          <w:rPr>
            <w:rStyle w:val="Hyperlink"/>
            <w:rFonts w:ascii="Rockwell" w:hAnsi="Rockwell"/>
            <w:lang w:val="fr-CA"/>
          </w:rPr>
          <w:t>Accouchements forcés à l'Hôpital de Moncton : un recours collectif est déposé</w:t>
        </w:r>
      </w:hyperlink>
    </w:p>
    <w:p w14:paraId="084AA347" w14:textId="77777777" w:rsidR="00F779FD" w:rsidRPr="00266700" w:rsidRDefault="00E07598" w:rsidP="00F779FD">
      <w:pPr>
        <w:spacing w:after="0"/>
        <w:rPr>
          <w:rFonts w:ascii="Rockwell" w:hAnsi="Rockwell"/>
          <w:lang w:val="fr-CA"/>
        </w:rPr>
      </w:pPr>
      <w:hyperlink r:id="rId13" w:history="1">
        <w:r w:rsidR="00F779FD" w:rsidRPr="00266700">
          <w:rPr>
            <w:rStyle w:val="Hyperlink"/>
            <w:rFonts w:ascii="Rockwell" w:hAnsi="Rockwell"/>
            <w:lang w:val="fr-CA"/>
          </w:rPr>
          <w:t xml:space="preserve">Selma </w:t>
        </w:r>
        <w:proofErr w:type="spellStart"/>
        <w:r w:rsidR="00F779FD" w:rsidRPr="00266700">
          <w:rPr>
            <w:rStyle w:val="Hyperlink"/>
            <w:rFonts w:ascii="Rockwell" w:hAnsi="Rockwell"/>
            <w:lang w:val="fr-CA"/>
          </w:rPr>
          <w:t>hospital</w:t>
        </w:r>
        <w:proofErr w:type="spellEnd"/>
        <w:r w:rsidR="00F779FD" w:rsidRPr="00266700">
          <w:rPr>
            <w:rStyle w:val="Hyperlink"/>
            <w:rFonts w:ascii="Rockwell" w:hAnsi="Rockwell"/>
            <w:lang w:val="fr-CA"/>
          </w:rPr>
          <w:t xml:space="preserve">, </w:t>
        </w:r>
        <w:proofErr w:type="spellStart"/>
        <w:r w:rsidR="00F779FD" w:rsidRPr="00266700">
          <w:rPr>
            <w:rStyle w:val="Hyperlink"/>
            <w:rFonts w:ascii="Rockwell" w:hAnsi="Rockwell"/>
            <w:lang w:val="fr-CA"/>
          </w:rPr>
          <w:t>doctors</w:t>
        </w:r>
        <w:proofErr w:type="spellEnd"/>
        <w:r w:rsidR="00F779FD" w:rsidRPr="00266700">
          <w:rPr>
            <w:rStyle w:val="Hyperlink"/>
            <w:rFonts w:ascii="Rockwell" w:hAnsi="Rockwell"/>
            <w:lang w:val="fr-CA"/>
          </w:rPr>
          <w:t xml:space="preserve"> to </w:t>
        </w:r>
        <w:proofErr w:type="spellStart"/>
        <w:r w:rsidR="00F779FD" w:rsidRPr="00266700">
          <w:rPr>
            <w:rStyle w:val="Hyperlink"/>
            <w:rFonts w:ascii="Rockwell" w:hAnsi="Rockwell"/>
            <w:lang w:val="fr-CA"/>
          </w:rPr>
          <w:t>pay</w:t>
        </w:r>
        <w:proofErr w:type="spellEnd"/>
        <w:r w:rsidR="00F779FD" w:rsidRPr="00266700">
          <w:rPr>
            <w:rStyle w:val="Hyperlink"/>
            <w:rFonts w:ascii="Rockwell" w:hAnsi="Rockwell"/>
            <w:lang w:val="fr-CA"/>
          </w:rPr>
          <w:t xml:space="preserve"> $1.5M to </w:t>
        </w:r>
        <w:proofErr w:type="spellStart"/>
        <w:r w:rsidR="00F779FD" w:rsidRPr="00266700">
          <w:rPr>
            <w:rStyle w:val="Hyperlink"/>
            <w:rFonts w:ascii="Rockwell" w:hAnsi="Rockwell"/>
            <w:lang w:val="fr-CA"/>
          </w:rPr>
          <w:t>settle</w:t>
        </w:r>
        <w:proofErr w:type="spellEnd"/>
        <w:r w:rsidR="00F779FD" w:rsidRPr="00266700">
          <w:rPr>
            <w:rStyle w:val="Hyperlink"/>
            <w:rFonts w:ascii="Rockwell" w:hAnsi="Rockwell"/>
            <w:lang w:val="fr-CA"/>
          </w:rPr>
          <w:t xml:space="preserve"> whistleblower </w:t>
        </w:r>
        <w:proofErr w:type="spellStart"/>
        <w:r w:rsidR="00F779FD" w:rsidRPr="00266700">
          <w:rPr>
            <w:rStyle w:val="Hyperlink"/>
            <w:rFonts w:ascii="Rockwell" w:hAnsi="Rockwell"/>
            <w:lang w:val="fr-CA"/>
          </w:rPr>
          <w:t>lawsuit</w:t>
        </w:r>
        <w:proofErr w:type="spellEnd"/>
      </w:hyperlink>
    </w:p>
    <w:p w14:paraId="4673C41A" w14:textId="168F2354" w:rsidR="00266700" w:rsidRPr="00266700" w:rsidRDefault="00E07598" w:rsidP="00F779FD">
      <w:pPr>
        <w:spacing w:after="0" w:line="240" w:lineRule="auto"/>
        <w:rPr>
          <w:rFonts w:ascii="Rockwell" w:hAnsi="Rockwell"/>
          <w:lang w:val="fr-CA"/>
        </w:rPr>
      </w:pPr>
      <w:hyperlink r:id="rId14" w:history="1">
        <w:r w:rsidR="00266700" w:rsidRPr="00266700">
          <w:rPr>
            <w:rStyle w:val="Hyperlink"/>
            <w:rFonts w:ascii="Rockwell" w:hAnsi="Rockwell"/>
            <w:lang w:val="fr-CA"/>
          </w:rPr>
          <w:t>Contraception : les pharmaciens pourront délivrer des ordonnances en Saskatchewan</w:t>
        </w:r>
      </w:hyperlink>
    </w:p>
    <w:p w14:paraId="0A7BE5AE" w14:textId="2130B87A" w:rsidR="00F02A2F" w:rsidRPr="00266700" w:rsidRDefault="00E07598" w:rsidP="00F779FD">
      <w:pPr>
        <w:spacing w:after="0" w:line="240" w:lineRule="auto"/>
        <w:rPr>
          <w:rFonts w:ascii="Rockwell" w:hAnsi="Rockwell"/>
          <w:lang w:val="fr-CA"/>
        </w:rPr>
      </w:pPr>
      <w:hyperlink r:id="rId15" w:history="1">
        <w:r w:rsidR="00F779FD" w:rsidRPr="00266700">
          <w:rPr>
            <w:rStyle w:val="Hyperlink"/>
            <w:rFonts w:ascii="Rockwell" w:hAnsi="Rockwell"/>
            <w:lang w:val="fr-CA"/>
          </w:rPr>
          <w:t xml:space="preserve">Ontario </w:t>
        </w:r>
        <w:proofErr w:type="spellStart"/>
        <w:r w:rsidR="00F779FD" w:rsidRPr="00266700">
          <w:rPr>
            <w:rStyle w:val="Hyperlink"/>
            <w:rFonts w:ascii="Rockwell" w:hAnsi="Rockwell"/>
            <w:lang w:val="fr-CA"/>
          </w:rPr>
          <w:t>may</w:t>
        </w:r>
        <w:proofErr w:type="spellEnd"/>
        <w:r w:rsidR="00F779FD" w:rsidRPr="00266700">
          <w:rPr>
            <w:rStyle w:val="Hyperlink"/>
            <w:rFonts w:ascii="Rockwell" w:hAnsi="Rockwell"/>
            <w:lang w:val="fr-CA"/>
          </w:rPr>
          <w:t xml:space="preserve"> let </w:t>
        </w:r>
        <w:proofErr w:type="spellStart"/>
        <w:r w:rsidR="00F779FD" w:rsidRPr="00266700">
          <w:rPr>
            <w:rStyle w:val="Hyperlink"/>
            <w:rFonts w:ascii="Rockwell" w:hAnsi="Rockwell"/>
            <w:lang w:val="fr-CA"/>
          </w:rPr>
          <w:t>pharmacists</w:t>
        </w:r>
        <w:proofErr w:type="spellEnd"/>
        <w:r w:rsidR="00F779FD" w:rsidRPr="00266700">
          <w:rPr>
            <w:rStyle w:val="Hyperlink"/>
            <w:rFonts w:ascii="Rockwell" w:hAnsi="Rockwell"/>
            <w:lang w:val="fr-CA"/>
          </w:rPr>
          <w:t xml:space="preserve"> </w:t>
        </w:r>
        <w:proofErr w:type="spellStart"/>
        <w:r w:rsidR="00F779FD" w:rsidRPr="00266700">
          <w:rPr>
            <w:rStyle w:val="Hyperlink"/>
            <w:rFonts w:ascii="Rockwell" w:hAnsi="Rockwell"/>
            <w:lang w:val="fr-CA"/>
          </w:rPr>
          <w:t>prescribe</w:t>
        </w:r>
        <w:proofErr w:type="spellEnd"/>
        <w:r w:rsidR="00F779FD" w:rsidRPr="00266700">
          <w:rPr>
            <w:rStyle w:val="Hyperlink"/>
            <w:rFonts w:ascii="Rockwell" w:hAnsi="Rockwell"/>
            <w:lang w:val="fr-CA"/>
          </w:rPr>
          <w:t xml:space="preserve"> </w:t>
        </w:r>
        <w:proofErr w:type="spellStart"/>
        <w:r w:rsidR="00F779FD" w:rsidRPr="00266700">
          <w:rPr>
            <w:rStyle w:val="Hyperlink"/>
            <w:rFonts w:ascii="Rockwell" w:hAnsi="Rockwell"/>
            <w:lang w:val="fr-CA"/>
          </w:rPr>
          <w:t>treatments</w:t>
        </w:r>
        <w:proofErr w:type="spellEnd"/>
        <w:r w:rsidR="00F779FD" w:rsidRPr="00266700">
          <w:rPr>
            <w:rStyle w:val="Hyperlink"/>
            <w:rFonts w:ascii="Rockwell" w:hAnsi="Rockwell"/>
            <w:lang w:val="fr-CA"/>
          </w:rPr>
          <w:t xml:space="preserve"> for minor issues like </w:t>
        </w:r>
        <w:proofErr w:type="spellStart"/>
        <w:r w:rsidR="00F779FD" w:rsidRPr="00266700">
          <w:rPr>
            <w:rStyle w:val="Hyperlink"/>
            <w:rFonts w:ascii="Rockwell" w:hAnsi="Rockwell"/>
            <w:lang w:val="fr-CA"/>
          </w:rPr>
          <w:t>pink</w:t>
        </w:r>
        <w:proofErr w:type="spellEnd"/>
        <w:r w:rsidR="00F779FD" w:rsidRPr="00266700">
          <w:rPr>
            <w:rStyle w:val="Hyperlink"/>
            <w:rFonts w:ascii="Rockwell" w:hAnsi="Rockwell"/>
            <w:lang w:val="fr-CA"/>
          </w:rPr>
          <w:t xml:space="preserve"> </w:t>
        </w:r>
        <w:proofErr w:type="spellStart"/>
        <w:r w:rsidR="00F779FD" w:rsidRPr="00266700">
          <w:rPr>
            <w:rStyle w:val="Hyperlink"/>
            <w:rFonts w:ascii="Rockwell" w:hAnsi="Rockwell"/>
            <w:lang w:val="fr-CA"/>
          </w:rPr>
          <w:t>eye</w:t>
        </w:r>
        <w:proofErr w:type="spellEnd"/>
      </w:hyperlink>
    </w:p>
    <w:sectPr w:rsidR="00F02A2F" w:rsidRPr="00266700" w:rsidSect="001C6F1A">
      <w:type w:val="continuous"/>
      <w:pgSz w:w="12240" w:h="15840"/>
      <w:pgMar w:top="1080" w:right="1440" w:bottom="1440" w:left="1440" w:header="720" w:footer="4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0D7695" w14:textId="77777777" w:rsidR="00E07598" w:rsidRDefault="00E07598">
      <w:pPr>
        <w:spacing w:after="0" w:line="240" w:lineRule="auto"/>
      </w:pPr>
      <w:r>
        <w:separator/>
      </w:r>
    </w:p>
  </w:endnote>
  <w:endnote w:type="continuationSeparator" w:id="0">
    <w:p w14:paraId="4ECE84C3" w14:textId="77777777" w:rsidR="00E07598" w:rsidRDefault="00E07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ockwell">
    <w:altName w:val="Rockwell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E55D27" w14:textId="1A0698C0" w:rsidR="00BC51F0" w:rsidRPr="0064472F" w:rsidRDefault="0064472F" w:rsidP="0064472F">
    <w:pPr>
      <w:jc w:val="center"/>
      <w:rPr>
        <w:rFonts w:ascii="Rockwell" w:hAnsi="Rockwell"/>
        <w:sz w:val="18"/>
        <w:szCs w:val="18"/>
        <w:lang w:val="fr-CA"/>
      </w:rPr>
    </w:pPr>
    <w:r w:rsidRPr="00DC7F91">
      <w:rPr>
        <w:rFonts w:ascii="Rockwell" w:hAnsi="Rockwell"/>
        <w:sz w:val="18"/>
        <w:szCs w:val="18"/>
        <w:lang w:val="fr-CA"/>
      </w:rPr>
      <w:t xml:space="preserve">Suivez </w:t>
    </w:r>
    <w:hyperlink r:id="rId1" w:history="1">
      <w:r w:rsidRPr="00DC7F91">
        <w:rPr>
          <w:rStyle w:val="Hyperlink"/>
          <w:rFonts w:ascii="Rockwell" w:hAnsi="Rockwell"/>
          <w:sz w:val="18"/>
          <w:szCs w:val="18"/>
          <w:lang w:val="fr-CA"/>
        </w:rPr>
        <w:t>le cours gratuit sur le Code de déontologie</w:t>
      </w:r>
    </w:hyperlink>
    <w:r w:rsidRPr="00DC7F91">
      <w:rPr>
        <w:rFonts w:ascii="Rockwell" w:hAnsi="Rockwell"/>
        <w:sz w:val="18"/>
        <w:szCs w:val="18"/>
        <w:lang w:val="fr-CA"/>
      </w:rPr>
      <w:t xml:space="preserve"> aujourd’hui!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75852B" w14:textId="77777777" w:rsidR="00E07598" w:rsidRDefault="00E07598">
      <w:pPr>
        <w:spacing w:after="0" w:line="240" w:lineRule="auto"/>
      </w:pPr>
      <w:r>
        <w:separator/>
      </w:r>
    </w:p>
  </w:footnote>
  <w:footnote w:type="continuationSeparator" w:id="0">
    <w:p w14:paraId="7A728057" w14:textId="77777777" w:rsidR="00E07598" w:rsidRDefault="00E075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37C859" w14:textId="77777777" w:rsidR="00BC51F0" w:rsidRDefault="00A80AA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61EB6736" wp14:editId="1EE372DD">
          <wp:extent cx="2553093" cy="715947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53093" cy="71594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56AE8"/>
    <w:multiLevelType w:val="multilevel"/>
    <w:tmpl w:val="0EA4138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E4440CE"/>
    <w:multiLevelType w:val="multilevel"/>
    <w:tmpl w:val="E60A89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7A6298D"/>
    <w:multiLevelType w:val="multilevel"/>
    <w:tmpl w:val="9E0498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3E72F19"/>
    <w:multiLevelType w:val="multilevel"/>
    <w:tmpl w:val="0EA413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4983B78"/>
    <w:multiLevelType w:val="multilevel"/>
    <w:tmpl w:val="76480E4A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CyNDI3NjMwNzUxtzRR0lEKTi0uzszPAykwqQUApc3vlSwAAAA="/>
  </w:docVars>
  <w:rsids>
    <w:rsidRoot w:val="00BC51F0"/>
    <w:rsid w:val="00085346"/>
    <w:rsid w:val="00090237"/>
    <w:rsid w:val="000A7904"/>
    <w:rsid w:val="001332AB"/>
    <w:rsid w:val="001C6F1A"/>
    <w:rsid w:val="001F265A"/>
    <w:rsid w:val="00266700"/>
    <w:rsid w:val="003918A1"/>
    <w:rsid w:val="00422DFC"/>
    <w:rsid w:val="004A4E79"/>
    <w:rsid w:val="004C512B"/>
    <w:rsid w:val="004E4BCB"/>
    <w:rsid w:val="0064472F"/>
    <w:rsid w:val="00666D35"/>
    <w:rsid w:val="00670891"/>
    <w:rsid w:val="00693AB0"/>
    <w:rsid w:val="006E2222"/>
    <w:rsid w:val="00771673"/>
    <w:rsid w:val="007819B5"/>
    <w:rsid w:val="00785195"/>
    <w:rsid w:val="00795D83"/>
    <w:rsid w:val="00815E36"/>
    <w:rsid w:val="00856391"/>
    <w:rsid w:val="008E1B9A"/>
    <w:rsid w:val="008E4DB9"/>
    <w:rsid w:val="009B267D"/>
    <w:rsid w:val="00A80AA2"/>
    <w:rsid w:val="00AB30C9"/>
    <w:rsid w:val="00B365D5"/>
    <w:rsid w:val="00BC51F0"/>
    <w:rsid w:val="00C829E9"/>
    <w:rsid w:val="00E07598"/>
    <w:rsid w:val="00E13465"/>
    <w:rsid w:val="00E56C62"/>
    <w:rsid w:val="00ED422B"/>
    <w:rsid w:val="00F02A2F"/>
    <w:rsid w:val="00F429F7"/>
    <w:rsid w:val="00F7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23330D"/>
  <w15:docId w15:val="{57D79CA8-90F9-4345-946A-81908E3B7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MS Mincho" w:hAnsi="Calibri" w:cs="Calibr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 w:after="0"/>
      <w:outlineLvl w:val="0"/>
    </w:pPr>
    <w:rPr>
      <w:color w:val="2F5496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F02A2F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02A2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C6F1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E222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E79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3918A1"/>
    <w:rPr>
      <w:rFonts w:ascii="Century Gothic" w:hAnsi="Century Gothic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447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472F"/>
  </w:style>
  <w:style w:type="paragraph" w:styleId="Footer">
    <w:name w:val="footer"/>
    <w:basedOn w:val="Normal"/>
    <w:link w:val="FooterChar"/>
    <w:uiPriority w:val="99"/>
    <w:unhideWhenUsed/>
    <w:rsid w:val="006447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47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82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smls.org/A-propos-de-nous/Nos-membres/Code-de-deontologie.aspx?lang=fr-CA" TargetMode="External"/><Relationship Id="rId13" Type="http://schemas.openxmlformats.org/officeDocument/2006/relationships/hyperlink" Target="https://www.wsfa.com/2019/09/19/selma-hospital-doctors-pay-m-settle-whistleblower-lawsui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oston.com/news/crime/2019/07/26/north-andover-woman-illegal-butt-injections" TargetMode="External"/><Relationship Id="rId12" Type="http://schemas.openxmlformats.org/officeDocument/2006/relationships/hyperlink" Target="https://ici.radio-canada.ca/nouvelle/1163741/recours-collectif-infirmiere-hopital-moncton-accouchements?depuisRecherche=tru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www.cbc.ca/news/canada/toronto/pharmacists-prescribing-treatments-1.5103435" TargetMode="Externa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smls.org/About-Us/Our-Members/Code-of-Conduct.aspx?lang=fr-CA" TargetMode="External"/><Relationship Id="rId14" Type="http://schemas.openxmlformats.org/officeDocument/2006/relationships/hyperlink" Target="https://ici.radio-canada.ca/nouvelle/1092799/saskatchewan-contraception-pharmaciens-ordonnances-pilule-infections-prescrire?depuisRecherche=tru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learn.csmls.org/topclass/login.do?redirectTo=%2Fexpand.do%3Ftemplate%3DCatalogBrowse%26catId%3D1394%26CatalogBrowse%26catId%3D1394%26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Z</dc:creator>
  <cp:lastModifiedBy>Laura Zychla</cp:lastModifiedBy>
  <cp:revision>2</cp:revision>
  <dcterms:created xsi:type="dcterms:W3CDTF">2019-10-08T15:32:00Z</dcterms:created>
  <dcterms:modified xsi:type="dcterms:W3CDTF">2019-10-08T15:32:00Z</dcterms:modified>
</cp:coreProperties>
</file>