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398A7" w14:textId="77777777" w:rsidR="00B96247" w:rsidRPr="001D5D67" w:rsidRDefault="00B96247">
      <w:pPr>
        <w:jc w:val="center"/>
        <w:rPr>
          <w:lang w:val="fr-CA"/>
        </w:rPr>
      </w:pPr>
      <w:bookmarkStart w:id="0" w:name="_GoBack"/>
      <w:bookmarkEnd w:id="0"/>
    </w:p>
    <w:p w14:paraId="33B42CAA" w14:textId="279B73C8" w:rsidR="00B96247" w:rsidRPr="001D5D67" w:rsidRDefault="00BF68F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</w:pPr>
      <w:r w:rsidRPr="001D5D67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L</w:t>
      </w:r>
      <w:r w:rsidR="00FC425F" w:rsidRPr="001D5D67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’</w:t>
      </w:r>
      <w:r w:rsidRPr="001D5D67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éthique à la carte</w:t>
      </w:r>
      <w:r w:rsidR="00716BE7" w:rsidRPr="001D5D67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 xml:space="preserve"> – </w:t>
      </w:r>
      <w:r w:rsidRPr="001D5D67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Liberté d</w:t>
      </w:r>
      <w:r w:rsidR="00FC425F" w:rsidRPr="001D5D67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’</w:t>
      </w:r>
      <w:r w:rsidRPr="001D5D67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>expression</w:t>
      </w:r>
      <w:r w:rsidR="00716BE7" w:rsidRPr="001D5D67">
        <w:rPr>
          <w:rFonts w:ascii="Century Gothic" w:eastAsia="Century Gothic" w:hAnsi="Century Gothic" w:cs="Century Gothic"/>
          <w:color w:val="0078AE"/>
          <w:sz w:val="32"/>
          <w:szCs w:val="32"/>
          <w:lang w:val="fr-CA"/>
        </w:rPr>
        <w:t xml:space="preserve"> </w:t>
      </w:r>
    </w:p>
    <w:p w14:paraId="2222421D" w14:textId="5EF92789" w:rsidR="00B96247" w:rsidRPr="001D5D67" w:rsidRDefault="00716BE7" w:rsidP="007C2E20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Rockwell" w:eastAsia="Rockwell" w:hAnsi="Rockwell" w:cs="Rockwell"/>
          <w:lang w:val="fr-CA"/>
        </w:rPr>
      </w:pPr>
      <w:r w:rsidRPr="001D5D67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Article</w:t>
      </w:r>
      <w:r w:rsidR="00C95FEA" w:rsidRPr="001D5D67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 :</w:t>
      </w:r>
      <w:r w:rsidRPr="001D5D67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 xml:space="preserve"> </w:t>
      </w:r>
      <w:hyperlink r:id="rId7">
        <w:r w:rsidR="009808F1" w:rsidRPr="001D5D67">
          <w:rPr>
            <w:rFonts w:ascii="Rockwell" w:eastAsia="Rockwell" w:hAnsi="Rockwell" w:cs="Rockwell"/>
            <w:color w:val="1155CC"/>
            <w:u w:val="single"/>
            <w:lang w:val="fr-CA"/>
          </w:rPr>
          <w:t>Une infirmière condamnée pour inconduite professionnelle porte sa cause en appel</w:t>
        </w:r>
      </w:hyperlink>
    </w:p>
    <w:p w14:paraId="17177315" w14:textId="77777777" w:rsidR="007C2E20" w:rsidRPr="001D5D67" w:rsidRDefault="007C2E20" w:rsidP="007C2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</w:p>
    <w:p w14:paraId="174F0989" w14:textId="3B9602F4" w:rsidR="00B96247" w:rsidRPr="001D5D67" w:rsidRDefault="00C95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1D5D67">
        <w:rPr>
          <w:rStyle w:val="Strong"/>
          <w:lang w:val="fr-CA"/>
        </w:rPr>
        <w:t>Quelle a été la situation?</w:t>
      </w:r>
    </w:p>
    <w:p w14:paraId="4E2D8CAF" w14:textId="051B0EAA" w:rsidR="00B96247" w:rsidRPr="001D5D67" w:rsidRDefault="00695099" w:rsidP="007C2E20">
      <w:pPr>
        <w:spacing w:after="0"/>
        <w:rPr>
          <w:rFonts w:ascii="Cambria" w:eastAsia="Rockwell" w:hAnsi="Cambria" w:cs="Rockwell"/>
          <w:lang w:val="fr-CA"/>
        </w:rPr>
      </w:pPr>
      <w:r w:rsidRPr="001D5D67">
        <w:rPr>
          <w:rFonts w:ascii="Rockwell" w:eastAsia="Rockwell" w:hAnsi="Rockwell" w:cs="Rockwell"/>
          <w:lang w:val="fr-CA"/>
        </w:rPr>
        <w:t>Une infirmière de</w:t>
      </w:r>
      <w:r w:rsidR="00361B6B" w:rsidRPr="001D5D67">
        <w:rPr>
          <w:rFonts w:ascii="Rockwell" w:eastAsia="Rockwell" w:hAnsi="Rockwell" w:cs="Rockwell"/>
          <w:lang w:val="fr-CA"/>
        </w:rPr>
        <w:t xml:space="preserve"> la</w:t>
      </w:r>
      <w:r w:rsidRPr="001D5D67">
        <w:rPr>
          <w:rFonts w:ascii="Rockwell" w:eastAsia="Rockwell" w:hAnsi="Rockwell" w:cs="Rockwell"/>
          <w:lang w:val="fr-CA"/>
        </w:rPr>
        <w:t xml:space="preserve"> Saskatchewan conteste qu</w:t>
      </w:r>
      <w:r w:rsidR="00FC425F" w:rsidRPr="001D5D67">
        <w:rPr>
          <w:rFonts w:ascii="Rockwell" w:eastAsia="Rockwell" w:hAnsi="Rockwell" w:cs="Rockwell"/>
          <w:lang w:val="fr-CA"/>
        </w:rPr>
        <w:t>’</w:t>
      </w:r>
      <w:r w:rsidRPr="001D5D67">
        <w:rPr>
          <w:rFonts w:ascii="Rockwell" w:eastAsia="Rockwell" w:hAnsi="Rockwell" w:cs="Rockwell"/>
          <w:lang w:val="fr-CA"/>
        </w:rPr>
        <w:t xml:space="preserve">une amende de 26 000 $ </w:t>
      </w:r>
      <w:r w:rsidR="006E31B2" w:rsidRPr="001D5D67">
        <w:rPr>
          <w:rFonts w:ascii="Rockwell" w:eastAsia="Rockwell" w:hAnsi="Rockwell" w:cs="Rockwell"/>
          <w:lang w:val="fr-CA"/>
        </w:rPr>
        <w:t>imposée par</w:t>
      </w:r>
      <w:r w:rsidRPr="001D5D67">
        <w:rPr>
          <w:rFonts w:ascii="Rockwell" w:eastAsia="Rockwell" w:hAnsi="Rockwell" w:cs="Rockwell"/>
          <w:lang w:val="fr-CA"/>
        </w:rPr>
        <w:t xml:space="preserve"> la Saskatchewan Registered Nurses Association était injuste. L</w:t>
      </w:r>
      <w:r w:rsidR="00FC425F" w:rsidRPr="001D5D67">
        <w:rPr>
          <w:rFonts w:ascii="Rockwell" w:eastAsia="Rockwell" w:hAnsi="Rockwell" w:cs="Rockwell"/>
          <w:lang w:val="fr-CA"/>
        </w:rPr>
        <w:t>’</w:t>
      </w:r>
      <w:r w:rsidRPr="001D5D67">
        <w:rPr>
          <w:rFonts w:ascii="Rockwell" w:eastAsia="Rockwell" w:hAnsi="Rockwell" w:cs="Rockwell"/>
          <w:lang w:val="fr-CA"/>
        </w:rPr>
        <w:t>amende a été provoquée par un commentaire qu</w:t>
      </w:r>
      <w:r w:rsidR="00FC425F" w:rsidRPr="001D5D67">
        <w:rPr>
          <w:rFonts w:ascii="Rockwell" w:eastAsia="Rockwell" w:hAnsi="Rockwell" w:cs="Rockwell"/>
          <w:lang w:val="fr-CA"/>
        </w:rPr>
        <w:t>’</w:t>
      </w:r>
      <w:r w:rsidRPr="001D5D67">
        <w:rPr>
          <w:rFonts w:ascii="Rockwell" w:eastAsia="Rockwell" w:hAnsi="Rockwell" w:cs="Rockwell"/>
          <w:lang w:val="fr-CA"/>
        </w:rPr>
        <w:t>elle a affiché sur Facebook, critiquant la qualité des soins qu</w:t>
      </w:r>
      <w:r w:rsidR="00FC425F" w:rsidRPr="001D5D67">
        <w:rPr>
          <w:rFonts w:ascii="Rockwell" w:eastAsia="Rockwell" w:hAnsi="Rockwell" w:cs="Rockwell"/>
          <w:lang w:val="fr-CA"/>
        </w:rPr>
        <w:t>’</w:t>
      </w:r>
      <w:r w:rsidRPr="001D5D67">
        <w:rPr>
          <w:rFonts w:ascii="Rockwell" w:eastAsia="Rockwell" w:hAnsi="Rockwell" w:cs="Rockwell"/>
          <w:lang w:val="fr-CA"/>
        </w:rPr>
        <w:t xml:space="preserve">un membre de sa famille a reçus à un centre </w:t>
      </w:r>
      <w:r w:rsidR="006E31B2" w:rsidRPr="001D5D67">
        <w:rPr>
          <w:rFonts w:ascii="Rockwell" w:eastAsia="Rockwell" w:hAnsi="Rockwell" w:cs="Rockwell"/>
          <w:lang w:val="fr-CA"/>
        </w:rPr>
        <w:t>médical</w:t>
      </w:r>
      <w:r w:rsidRPr="001D5D67">
        <w:rPr>
          <w:rFonts w:ascii="Rockwell" w:eastAsia="Rockwell" w:hAnsi="Rockwell" w:cs="Rockwell"/>
          <w:lang w:val="fr-CA"/>
        </w:rPr>
        <w:t xml:space="preserve"> à </w:t>
      </w:r>
      <w:proofErr w:type="spellStart"/>
      <w:r w:rsidRPr="001D5D67">
        <w:rPr>
          <w:rFonts w:ascii="Rockwell" w:eastAsia="Rockwell" w:hAnsi="Rockwell" w:cs="Rockwell"/>
          <w:lang w:val="fr-CA"/>
        </w:rPr>
        <w:t>Macklin</w:t>
      </w:r>
      <w:proofErr w:type="spellEnd"/>
      <w:r w:rsidRPr="001D5D67">
        <w:rPr>
          <w:rFonts w:ascii="Rockwell" w:eastAsia="Rockwell" w:hAnsi="Rockwell" w:cs="Rockwell"/>
          <w:lang w:val="fr-CA"/>
        </w:rPr>
        <w:t xml:space="preserve"> (Saskatchewan).</w:t>
      </w:r>
    </w:p>
    <w:p w14:paraId="3D0FA1D1" w14:textId="77777777" w:rsidR="007C2E20" w:rsidRPr="001D5D67" w:rsidRDefault="007C2E20" w:rsidP="007C2E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</w:p>
    <w:p w14:paraId="447AED17" w14:textId="121630E0" w:rsidR="00B96247" w:rsidRPr="001D5D67" w:rsidRDefault="00C95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1D5D67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Qu</w:t>
      </w:r>
      <w:r w:rsidR="00FC425F" w:rsidRPr="001D5D67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’</w:t>
      </w:r>
      <w:r w:rsidRPr="001D5D67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est-ce qui a mal tourné?</w:t>
      </w:r>
    </w:p>
    <w:tbl>
      <w:tblPr>
        <w:tblStyle w:val="a"/>
        <w:tblW w:w="9357" w:type="dxa"/>
        <w:tblLayout w:type="fixed"/>
        <w:tblLook w:val="0400" w:firstRow="0" w:lastRow="0" w:firstColumn="0" w:lastColumn="0" w:noHBand="0" w:noVBand="1"/>
      </w:tblPr>
      <w:tblGrid>
        <w:gridCol w:w="3105"/>
        <w:gridCol w:w="3135"/>
        <w:gridCol w:w="3117"/>
      </w:tblGrid>
      <w:tr w:rsidR="00B96247" w:rsidRPr="001D5D67" w14:paraId="0001967D" w14:textId="77777777" w:rsidTr="00F564CB">
        <w:trPr>
          <w:trHeight w:val="567"/>
        </w:trPr>
        <w:tc>
          <w:tcPr>
            <w:tcW w:w="3105" w:type="dxa"/>
          </w:tcPr>
          <w:p w14:paraId="3AE66B30" w14:textId="276A9E7F" w:rsidR="00B96247" w:rsidRPr="001D5D67" w:rsidRDefault="00201744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  <w:r w:rsidRPr="001D5D67">
              <w:rPr>
                <w:rFonts w:ascii="Rockwell" w:eastAsia="Rockwell" w:hAnsi="Rockwell" w:cs="Rockwell"/>
                <w:lang w:val="fr-CA"/>
              </w:rPr>
              <w:t>Non-respect des normes de conduite professionnelle</w:t>
            </w:r>
          </w:p>
          <w:p w14:paraId="34AAF67E" w14:textId="77777777" w:rsidR="00B96247" w:rsidRPr="001D5D67" w:rsidRDefault="00B96247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</w:p>
        </w:tc>
        <w:tc>
          <w:tcPr>
            <w:tcW w:w="3135" w:type="dxa"/>
          </w:tcPr>
          <w:p w14:paraId="1DBF0263" w14:textId="6ED22D79" w:rsidR="00B96247" w:rsidRPr="001D5D67" w:rsidRDefault="00201744">
            <w:pPr>
              <w:spacing w:after="100"/>
              <w:jc w:val="center"/>
              <w:rPr>
                <w:rFonts w:ascii="Rockwell" w:eastAsia="Rockwell" w:hAnsi="Rockwell" w:cs="Rockwell"/>
                <w:lang w:val="fr-CA"/>
              </w:rPr>
            </w:pPr>
            <w:r w:rsidRPr="001D5D67">
              <w:rPr>
                <w:rFonts w:ascii="Rockwell" w:eastAsia="Rockwell" w:hAnsi="Rockwell" w:cs="Rockwell"/>
                <w:lang w:val="fr-CA"/>
              </w:rPr>
              <w:t>Manque de responsabilité professionnelle</w:t>
            </w:r>
          </w:p>
          <w:p w14:paraId="43CB55CC" w14:textId="3E3A9D81" w:rsidR="00B96247" w:rsidRPr="001D5D67" w:rsidRDefault="00201744" w:rsidP="004B311F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  <w:r w:rsidRPr="001D5D67">
              <w:rPr>
                <w:rFonts w:ascii="Rockwell" w:eastAsia="Rockwell" w:hAnsi="Rockwell" w:cs="Rockwell"/>
                <w:lang w:val="fr-CA"/>
              </w:rPr>
              <w:t>Manque d</w:t>
            </w:r>
            <w:r w:rsidR="00FC425F" w:rsidRPr="001D5D67">
              <w:rPr>
                <w:rFonts w:ascii="Rockwell" w:eastAsia="Rockwell" w:hAnsi="Rockwell" w:cs="Rockwell"/>
                <w:lang w:val="fr-CA"/>
              </w:rPr>
              <w:t>’</w:t>
            </w:r>
            <w:r w:rsidRPr="001D5D67">
              <w:rPr>
                <w:rFonts w:ascii="Rockwell" w:eastAsia="Rockwell" w:hAnsi="Rockwell" w:cs="Rockwell"/>
                <w:lang w:val="fr-CA"/>
              </w:rPr>
              <w:t>intégrité</w:t>
            </w:r>
          </w:p>
        </w:tc>
        <w:tc>
          <w:tcPr>
            <w:tcW w:w="3117" w:type="dxa"/>
          </w:tcPr>
          <w:p w14:paraId="3297A6E3" w14:textId="1EEF561E" w:rsidR="00F564CB" w:rsidRPr="001D5D67" w:rsidRDefault="004B3067" w:rsidP="00F564CB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  <w:r w:rsidRPr="001D5D67">
              <w:rPr>
                <w:rFonts w:ascii="Rockwell" w:eastAsia="Rockwell" w:hAnsi="Rockwell" w:cs="Rockwell"/>
                <w:lang w:val="fr-CA"/>
              </w:rPr>
              <w:t xml:space="preserve">Ne pas </w:t>
            </w:r>
            <w:r w:rsidR="00201744" w:rsidRPr="001D5D67">
              <w:rPr>
                <w:rFonts w:ascii="Rockwell" w:eastAsia="Rockwell" w:hAnsi="Rockwell" w:cs="Rockwell"/>
                <w:lang w:val="fr-CA"/>
              </w:rPr>
              <w:t>assumer la responsabilité des actes professionnels</w:t>
            </w:r>
          </w:p>
          <w:p w14:paraId="30E944CF" w14:textId="77777777" w:rsidR="00B96247" w:rsidRPr="001D5D67" w:rsidRDefault="00B96247" w:rsidP="00F564CB">
            <w:pPr>
              <w:jc w:val="center"/>
              <w:rPr>
                <w:rFonts w:ascii="Rockwell" w:eastAsia="Rockwell" w:hAnsi="Rockwell" w:cs="Rockwell"/>
                <w:lang w:val="fr-CA"/>
              </w:rPr>
            </w:pPr>
          </w:p>
        </w:tc>
      </w:tr>
    </w:tbl>
    <w:p w14:paraId="3C7E08F4" w14:textId="16032302" w:rsidR="00B96247" w:rsidRPr="001D5D67" w:rsidRDefault="00C95FEA" w:rsidP="00F564CB">
      <w:p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1D5D67">
        <w:rPr>
          <w:rFonts w:ascii="Century Gothic" w:hAnsi="Century Gothic"/>
          <w:b/>
          <w:sz w:val="20"/>
          <w:szCs w:val="20"/>
          <w:lang w:val="fr-CA"/>
        </w:rPr>
        <w:t>Utilisation du code de déontologie</w:t>
      </w:r>
    </w:p>
    <w:p w14:paraId="50109E01" w14:textId="22F605BC" w:rsidR="00C95FEA" w:rsidRPr="001D5D67" w:rsidRDefault="00C95FEA" w:rsidP="00C95F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ckwell" w:eastAsia="Rockwell" w:hAnsi="Rockwell" w:cs="Rockwell"/>
          <w:color w:val="000000"/>
          <w:lang w:val="fr-CA"/>
        </w:rPr>
      </w:pPr>
      <w:r w:rsidRPr="001D5D67">
        <w:rPr>
          <w:rFonts w:ascii="Rockwell" w:hAnsi="Rockwell" w:cs="Arial"/>
          <w:lang w:val="fr-CA"/>
        </w:rPr>
        <w:t xml:space="preserve">Le </w:t>
      </w:r>
      <w:r w:rsidR="00DC51AA">
        <w:fldChar w:fldCharType="begin"/>
      </w:r>
      <w:r w:rsidR="00DC51AA" w:rsidRPr="002C6389">
        <w:rPr>
          <w:lang w:val="fr-CA"/>
        </w:rPr>
        <w:instrText xml:space="preserve"> HYPERLINK "https://www.csmls.org/A-propos-de-nous/Nos-membres/Code-de-deontologie.aspx?lang=fr-CA" </w:instrText>
      </w:r>
      <w:r w:rsidR="00DC51AA">
        <w:fldChar w:fldCharType="separate"/>
      </w:r>
      <w:r w:rsidRPr="001D5D67">
        <w:rPr>
          <w:rStyle w:val="Hyperlink"/>
          <w:rFonts w:ascii="Rockwell" w:hAnsi="Rockwell" w:cs="Arial"/>
          <w:lang w:val="fr-CA"/>
        </w:rPr>
        <w:t>Code de déontologie de la SCSLM</w:t>
      </w:r>
      <w:r w:rsidR="00DC51AA">
        <w:rPr>
          <w:rStyle w:val="Hyperlink"/>
          <w:rFonts w:ascii="Rockwell" w:hAnsi="Rockwell" w:cs="Arial"/>
          <w:lang w:val="fr-CA"/>
        </w:rPr>
        <w:fldChar w:fldCharType="end"/>
      </w:r>
      <w:r w:rsidRPr="001D5D67">
        <w:rPr>
          <w:rFonts w:ascii="Rockwell" w:hAnsi="Rockwell" w:cs="Arial"/>
          <w:color w:val="3F3F3F"/>
          <w:lang w:val="fr-CA"/>
        </w:rPr>
        <w:t xml:space="preserve"> </w:t>
      </w:r>
      <w:r w:rsidRPr="001D5D67">
        <w:rPr>
          <w:rFonts w:ascii="Rockwell" w:hAnsi="Rockwell" w:cs="Arial"/>
          <w:lang w:val="fr-CA"/>
        </w:rPr>
        <w:t>vise à définir et à développer les concepts d</w:t>
      </w:r>
      <w:r w:rsidR="00FC425F" w:rsidRPr="001D5D67">
        <w:rPr>
          <w:rFonts w:ascii="Rockwell" w:hAnsi="Rockwell" w:cs="Arial"/>
          <w:lang w:val="fr-CA"/>
        </w:rPr>
        <w:t>’</w:t>
      </w:r>
      <w:r w:rsidRPr="001D5D67">
        <w:rPr>
          <w:rFonts w:ascii="Rockwell" w:hAnsi="Rockwell" w:cs="Arial"/>
          <w:lang w:val="fr-CA"/>
        </w:rPr>
        <w:t xml:space="preserve">éthique intrinsèques contenus dans le </w:t>
      </w:r>
      <w:r w:rsidR="00DC51AA">
        <w:fldChar w:fldCharType="begin"/>
      </w:r>
      <w:r w:rsidR="00DC51AA" w:rsidRPr="002C6389">
        <w:rPr>
          <w:lang w:val="fr-CA"/>
        </w:rPr>
        <w:instrText xml:space="preserve"> HYPERLINK "https://www.csmls.org/Abo</w:instrText>
      </w:r>
      <w:r w:rsidR="00DC51AA" w:rsidRPr="002C6389">
        <w:rPr>
          <w:lang w:val="fr-CA"/>
        </w:rPr>
        <w:instrText xml:space="preserve">ut-Us/Our-Members/Code-of-Conduct.aspx?lang=fr-CA" </w:instrText>
      </w:r>
      <w:r w:rsidR="00DC51AA">
        <w:fldChar w:fldCharType="separate"/>
      </w:r>
      <w:r w:rsidRPr="001D5D67">
        <w:rPr>
          <w:rStyle w:val="Hyperlink"/>
          <w:rFonts w:ascii="Rockwell" w:hAnsi="Rockwell" w:cs="Arial"/>
          <w:lang w:val="fr-CA"/>
        </w:rPr>
        <w:t>Code de conduite professionnelle de la SCSLM</w:t>
      </w:r>
      <w:r w:rsidR="00DC51AA">
        <w:rPr>
          <w:rStyle w:val="Hyperlink"/>
          <w:rFonts w:ascii="Rockwell" w:hAnsi="Rockwell" w:cs="Arial"/>
          <w:lang w:val="fr-CA"/>
        </w:rPr>
        <w:fldChar w:fldCharType="end"/>
      </w:r>
      <w:r w:rsidRPr="001D5D67">
        <w:rPr>
          <w:rFonts w:ascii="Rockwell" w:hAnsi="Rockwell" w:cs="Arial"/>
          <w:lang w:val="fr-CA"/>
        </w:rPr>
        <w:t>, à documenter les attentes à l</w:t>
      </w:r>
      <w:r w:rsidR="00FC425F" w:rsidRPr="001D5D67">
        <w:rPr>
          <w:rFonts w:ascii="Rockwell" w:hAnsi="Rockwell" w:cs="Arial"/>
          <w:lang w:val="fr-CA"/>
        </w:rPr>
        <w:t>’</w:t>
      </w:r>
      <w:r w:rsidRPr="001D5D67">
        <w:rPr>
          <w:rFonts w:ascii="Rockwell" w:hAnsi="Rockwell" w:cs="Arial"/>
          <w:lang w:val="fr-CA"/>
        </w:rPr>
        <w:t>égard du comportement éthique de tous les professionnels de laboratoire médical, et à fournir un cadre lors des évaluations professionnelles et des autoévaluations personnelles. Envisagez comment adhérer à ces codes auraient pu empêcher cette situation. Quels autres codes s</w:t>
      </w:r>
      <w:r w:rsidR="00FC425F" w:rsidRPr="001D5D67">
        <w:rPr>
          <w:rFonts w:ascii="Rockwell" w:hAnsi="Rockwell" w:cs="Arial"/>
          <w:lang w:val="fr-CA"/>
        </w:rPr>
        <w:t>’</w:t>
      </w:r>
      <w:r w:rsidRPr="001D5D67">
        <w:rPr>
          <w:rFonts w:ascii="Rockwell" w:hAnsi="Rockwell" w:cs="Arial"/>
          <w:lang w:val="fr-CA"/>
        </w:rPr>
        <w:t>y appliquent?</w:t>
      </w:r>
    </w:p>
    <w:p w14:paraId="549CAB00" w14:textId="420C00BC" w:rsidR="00B96247" w:rsidRPr="001D5D67" w:rsidRDefault="00C95FEA" w:rsidP="00C95FEA">
      <w:pPr>
        <w:spacing w:after="0"/>
        <w:rPr>
          <w:rFonts w:ascii="Rockwell" w:eastAsia="Rockwell" w:hAnsi="Rockwell" w:cs="Rockwell"/>
          <w:i/>
          <w:lang w:val="fr-CA"/>
        </w:rPr>
      </w:pPr>
      <w:r w:rsidRPr="001D5D67">
        <w:rPr>
          <w:rFonts w:ascii="Rockwell" w:hAnsi="Rockwell"/>
          <w:i/>
          <w:lang w:val="fr-CA"/>
        </w:rPr>
        <w:t>Code de déontologie</w:t>
      </w:r>
    </w:p>
    <w:p w14:paraId="19590CFF" w14:textId="11CC5748" w:rsidR="00B96247" w:rsidRPr="001D5D67" w:rsidRDefault="00F564CB" w:rsidP="00620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hAnsi="Rockwell"/>
          <w:lang w:val="fr-CA"/>
        </w:rPr>
      </w:pPr>
      <w:r w:rsidRPr="001D5D67">
        <w:rPr>
          <w:rFonts w:ascii="Rockwell" w:eastAsia="Rockwell" w:hAnsi="Rockwell" w:cs="Rockwell"/>
          <w:lang w:val="fr-CA"/>
        </w:rPr>
        <w:t xml:space="preserve">1.4 </w:t>
      </w:r>
      <w:r w:rsidR="00620CE3" w:rsidRPr="001D5D67">
        <w:rPr>
          <w:rFonts w:ascii="Rockwell" w:eastAsia="Rockwell" w:hAnsi="Rockwell" w:cs="Rockwell"/>
          <w:lang w:val="fr-CA"/>
        </w:rPr>
        <w:t>Utiliser les mécanismes professionnels et institutionnels pour intervenir lors de l</w:t>
      </w:r>
      <w:r w:rsidR="00FC425F" w:rsidRPr="001D5D67">
        <w:rPr>
          <w:rFonts w:ascii="Rockwell" w:eastAsia="Rockwell" w:hAnsi="Rockwell" w:cs="Rockwell"/>
          <w:lang w:val="fr-CA"/>
        </w:rPr>
        <w:t>’</w:t>
      </w:r>
      <w:r w:rsidR="00620CE3" w:rsidRPr="001D5D67">
        <w:rPr>
          <w:rFonts w:ascii="Rockwell" w:eastAsia="Rockwell" w:hAnsi="Rockwell" w:cs="Rockwell"/>
          <w:lang w:val="fr-CA"/>
        </w:rPr>
        <w:t>observation de pratiques non sécuritaires, incompétentes ou contraires à l</w:t>
      </w:r>
      <w:r w:rsidR="00FC425F" w:rsidRPr="001D5D67">
        <w:rPr>
          <w:rFonts w:ascii="Rockwell" w:eastAsia="Rockwell" w:hAnsi="Rockwell" w:cs="Rockwell"/>
          <w:lang w:val="fr-CA"/>
        </w:rPr>
        <w:t>’</w:t>
      </w:r>
      <w:r w:rsidR="00620CE3" w:rsidRPr="001D5D67">
        <w:rPr>
          <w:rFonts w:ascii="Rockwell" w:eastAsia="Rockwell" w:hAnsi="Rockwell" w:cs="Rockwell"/>
          <w:lang w:val="fr-CA"/>
        </w:rPr>
        <w:t>éthique.</w:t>
      </w:r>
    </w:p>
    <w:p w14:paraId="08545EFE" w14:textId="770B85FD" w:rsidR="00B96247" w:rsidRPr="001D5D67" w:rsidRDefault="00716BE7" w:rsidP="00620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hAnsi="Rockwell"/>
          <w:lang w:val="fr-CA"/>
        </w:rPr>
      </w:pPr>
      <w:r w:rsidRPr="001D5D67">
        <w:rPr>
          <w:rFonts w:ascii="Rockwell" w:eastAsia="Rockwell" w:hAnsi="Rockwell" w:cs="Rockwell"/>
          <w:lang w:val="fr-CA"/>
        </w:rPr>
        <w:t xml:space="preserve">4.1 </w:t>
      </w:r>
      <w:r w:rsidR="00620CE3" w:rsidRPr="001D5D67">
        <w:rPr>
          <w:rFonts w:ascii="Rockwell" w:eastAsia="Rockwell" w:hAnsi="Rockwell" w:cs="Rockwell"/>
          <w:lang w:val="fr-CA"/>
        </w:rPr>
        <w:t>Être responsable surtout au patient, puis à la société et à l</w:t>
      </w:r>
      <w:r w:rsidR="00FC425F" w:rsidRPr="001D5D67">
        <w:rPr>
          <w:rFonts w:ascii="Rockwell" w:eastAsia="Rockwell" w:hAnsi="Rockwell" w:cs="Rockwell"/>
          <w:lang w:val="fr-CA"/>
        </w:rPr>
        <w:t>’</w:t>
      </w:r>
      <w:r w:rsidR="00620CE3" w:rsidRPr="001D5D67">
        <w:rPr>
          <w:rFonts w:ascii="Rockwell" w:eastAsia="Rockwell" w:hAnsi="Rockwell" w:cs="Rockwell"/>
          <w:lang w:val="fr-CA"/>
        </w:rPr>
        <w:t>environnement, pour assurer l</w:t>
      </w:r>
      <w:r w:rsidR="00FC425F" w:rsidRPr="001D5D67">
        <w:rPr>
          <w:rFonts w:ascii="Rockwell" w:eastAsia="Rockwell" w:hAnsi="Rockwell" w:cs="Rockwell"/>
          <w:lang w:val="fr-CA"/>
        </w:rPr>
        <w:t>’</w:t>
      </w:r>
      <w:r w:rsidR="00620CE3" w:rsidRPr="001D5D67">
        <w:rPr>
          <w:rFonts w:ascii="Rockwell" w:eastAsia="Rockwell" w:hAnsi="Rockwell" w:cs="Rockwell"/>
          <w:lang w:val="fr-CA"/>
        </w:rPr>
        <w:t>exercice sécuritaire et légitime ainsi que la durabilité des ressources.</w:t>
      </w:r>
    </w:p>
    <w:p w14:paraId="7BB75657" w14:textId="3CA2FAA6" w:rsidR="00B96247" w:rsidRPr="001D5D67" w:rsidRDefault="00716BE7" w:rsidP="00620C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ckwell" w:hAnsi="Rockwell"/>
          <w:lang w:val="fr-CA"/>
        </w:rPr>
      </w:pPr>
      <w:r w:rsidRPr="001D5D67">
        <w:rPr>
          <w:rFonts w:ascii="Rockwell" w:eastAsia="Rockwell" w:hAnsi="Rockwell" w:cs="Rockwell"/>
          <w:lang w:val="fr-CA"/>
        </w:rPr>
        <w:t xml:space="preserve">5.3 </w:t>
      </w:r>
      <w:r w:rsidR="00620CE3" w:rsidRPr="001D5D67">
        <w:rPr>
          <w:rFonts w:ascii="Rockwell" w:eastAsia="Rockwell" w:hAnsi="Rockwell" w:cs="Rockwell"/>
          <w:lang w:val="fr-CA"/>
        </w:rPr>
        <w:t>Encourager la confiance du public par l</w:t>
      </w:r>
      <w:r w:rsidR="00FC425F" w:rsidRPr="001D5D67">
        <w:rPr>
          <w:rFonts w:ascii="Rockwell" w:eastAsia="Rockwell" w:hAnsi="Rockwell" w:cs="Rockwell"/>
          <w:lang w:val="fr-CA"/>
        </w:rPr>
        <w:t>’</w:t>
      </w:r>
      <w:r w:rsidR="00620CE3" w:rsidRPr="001D5D67">
        <w:rPr>
          <w:rFonts w:ascii="Rockwell" w:eastAsia="Rockwell" w:hAnsi="Rockwell" w:cs="Rockwell"/>
          <w:lang w:val="fr-CA"/>
        </w:rPr>
        <w:t>entremise des normes élevées de compétence professionnelle et de conduite.</w:t>
      </w:r>
    </w:p>
    <w:p w14:paraId="4378457C" w14:textId="67735044" w:rsidR="00B96247" w:rsidRPr="001D5D67" w:rsidRDefault="00C95FEA" w:rsidP="005F3CF5">
      <w:pPr>
        <w:spacing w:before="240" w:after="0"/>
        <w:rPr>
          <w:rFonts w:ascii="Rockwell" w:eastAsia="Rockwell" w:hAnsi="Rockwell" w:cs="Rockwell"/>
          <w:i/>
          <w:lang w:val="fr-CA"/>
        </w:rPr>
      </w:pPr>
      <w:r w:rsidRPr="001D5D67">
        <w:rPr>
          <w:rFonts w:ascii="Rockwell" w:hAnsi="Rockwell"/>
          <w:i/>
          <w:lang w:val="fr-CA"/>
        </w:rPr>
        <w:t>Code de conduite professionnelle</w:t>
      </w:r>
    </w:p>
    <w:p w14:paraId="780E85E1" w14:textId="7D56755F" w:rsidR="00B96247" w:rsidRPr="001D5D67" w:rsidRDefault="00FF0900" w:rsidP="00FF0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ckwell" w:hAnsi="Rockwell"/>
          <w:lang w:val="fr-CA"/>
        </w:rPr>
      </w:pPr>
      <w:r w:rsidRPr="001D5D67">
        <w:rPr>
          <w:rFonts w:ascii="Rockwell" w:eastAsia="Rockwell" w:hAnsi="Rockwell" w:cs="Rockwell"/>
          <w:lang w:val="fr-CA"/>
        </w:rPr>
        <w:t>Les professionnels de laboratoire médical doivent connaître les lois et règlements régissant la technologie de laboratoire médical et ils doivent les appliquer dans la pratique de leur profession.</w:t>
      </w:r>
    </w:p>
    <w:p w14:paraId="4E1C60AB" w14:textId="0541A0BF" w:rsidR="00F53C5D" w:rsidRPr="001D5D67" w:rsidRDefault="00FF0900" w:rsidP="00FF09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Rockwell" w:hAnsi="Rockwell"/>
          <w:lang w:val="fr-CA"/>
        </w:rPr>
      </w:pPr>
      <w:r w:rsidRPr="001D5D67">
        <w:rPr>
          <w:rFonts w:ascii="Rockwell" w:hAnsi="Rockwell"/>
          <w:lang w:val="fr-CA"/>
        </w:rPr>
        <w:t>Les professionnels de laboratoire médical doivent protéger la confidentialité de toute l</w:t>
      </w:r>
      <w:r w:rsidR="00FC425F" w:rsidRPr="001D5D67">
        <w:rPr>
          <w:rFonts w:ascii="Rockwell" w:hAnsi="Rockwell"/>
          <w:lang w:val="fr-CA"/>
        </w:rPr>
        <w:t>’</w:t>
      </w:r>
      <w:r w:rsidRPr="001D5D67">
        <w:rPr>
          <w:rFonts w:ascii="Rockwell" w:hAnsi="Rockwell"/>
          <w:lang w:val="fr-CA"/>
        </w:rPr>
        <w:t>information concernant le patient.</w:t>
      </w:r>
    </w:p>
    <w:p w14:paraId="6032EECA" w14:textId="458EBDF6" w:rsidR="00B96247" w:rsidRPr="001D5D67" w:rsidRDefault="00C95FE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</w:pPr>
      <w:r w:rsidRPr="001D5D67">
        <w:rPr>
          <w:rFonts w:ascii="Century Gothic" w:eastAsia="Century Gothic" w:hAnsi="Century Gothic" w:cs="Century Gothic"/>
          <w:b/>
          <w:color w:val="000000"/>
          <w:sz w:val="20"/>
          <w:szCs w:val="20"/>
          <w:lang w:val="fr-CA"/>
        </w:rPr>
        <w:t>Rapports pertinents :</w:t>
      </w:r>
    </w:p>
    <w:bookmarkStart w:id="1" w:name="_gjdgxs" w:colFirst="0" w:colLast="0"/>
    <w:bookmarkEnd w:id="1"/>
    <w:p w14:paraId="460CA3A1" w14:textId="1A1E66C7" w:rsidR="007C3084" w:rsidRPr="001D5D67" w:rsidRDefault="00E74EA4" w:rsidP="00016E65">
      <w:pPr>
        <w:pStyle w:val="Heading1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line="240" w:lineRule="auto"/>
        <w:rPr>
          <w:rFonts w:ascii="Rockwell" w:hAnsi="Rockwell"/>
          <w:sz w:val="22"/>
          <w:szCs w:val="22"/>
          <w:lang w:val="fr-CA"/>
        </w:rPr>
      </w:pPr>
      <w:r w:rsidRPr="001D5D67">
        <w:rPr>
          <w:rFonts w:ascii="Rockwell" w:hAnsi="Rockwell"/>
          <w:sz w:val="22"/>
          <w:szCs w:val="22"/>
          <w:lang w:val="fr-CA"/>
        </w:rPr>
        <w:fldChar w:fldCharType="begin"/>
      </w:r>
      <w:r w:rsidRPr="001D5D67">
        <w:rPr>
          <w:rFonts w:ascii="Rockwell" w:hAnsi="Rockwell"/>
          <w:sz w:val="22"/>
          <w:szCs w:val="22"/>
          <w:lang w:val="fr-CA"/>
        </w:rPr>
        <w:instrText>HYPERLINK "https://infirmiere-canadienne.com/fr/articles/issues/2018/may-june-2018/liberte-dexpression-defense-des-droits-des-patients-et-medias-sociaux"</w:instrText>
      </w:r>
      <w:r w:rsidRPr="001D5D67">
        <w:rPr>
          <w:rFonts w:ascii="Rockwell" w:hAnsi="Rockwell"/>
          <w:sz w:val="22"/>
          <w:szCs w:val="22"/>
          <w:lang w:val="fr-CA"/>
        </w:rPr>
        <w:fldChar w:fldCharType="separate"/>
      </w:r>
      <w:r w:rsidRPr="001D5D67">
        <w:rPr>
          <w:rStyle w:val="Hyperlink"/>
          <w:rFonts w:ascii="Rockwell" w:hAnsi="Rockwell"/>
          <w:sz w:val="22"/>
          <w:szCs w:val="22"/>
          <w:lang w:val="fr-CA"/>
        </w:rPr>
        <w:t>Liberté d’expression, défense des droits des patients et médias sociaux</w:t>
      </w:r>
      <w:r w:rsidRPr="001D5D67">
        <w:rPr>
          <w:rFonts w:ascii="Rockwell" w:hAnsi="Rockwell"/>
          <w:sz w:val="22"/>
          <w:szCs w:val="22"/>
          <w:lang w:val="fr-CA"/>
        </w:rPr>
        <w:fldChar w:fldCharType="end"/>
      </w:r>
    </w:p>
    <w:p w14:paraId="1CFFA482" w14:textId="7F67A407" w:rsidR="00B96247" w:rsidRPr="001D5D67" w:rsidRDefault="00DC51AA" w:rsidP="00016E65">
      <w:pPr>
        <w:pStyle w:val="Heading1"/>
        <w:keepNext w:val="0"/>
        <w:keepLines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0" w:line="240" w:lineRule="auto"/>
        <w:rPr>
          <w:rFonts w:ascii="Rockwell" w:eastAsia="Rockwell" w:hAnsi="Rockwell" w:cs="Rockwell"/>
          <w:color w:val="1155CC"/>
          <w:sz w:val="22"/>
          <w:szCs w:val="22"/>
          <w:u w:val="single"/>
          <w:lang w:val="fr-CA"/>
        </w:rPr>
      </w:pPr>
      <w:hyperlink r:id="rId8">
        <w:proofErr w:type="spellStart"/>
        <w:r w:rsidR="00716BE7" w:rsidRPr="001D5D67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>Protecting</w:t>
        </w:r>
        <w:proofErr w:type="spellEnd"/>
        <w:r w:rsidR="00716BE7" w:rsidRPr="001D5D67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 xml:space="preserve"> </w:t>
        </w:r>
        <w:proofErr w:type="spellStart"/>
        <w:r w:rsidR="00716BE7" w:rsidRPr="001D5D67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>confidentiality</w:t>
        </w:r>
        <w:proofErr w:type="spellEnd"/>
        <w:r w:rsidR="00716BE7" w:rsidRPr="001D5D67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 xml:space="preserve"> in the </w:t>
        </w:r>
        <w:proofErr w:type="spellStart"/>
        <w:r w:rsidR="00716BE7" w:rsidRPr="001D5D67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>health</w:t>
        </w:r>
        <w:proofErr w:type="spellEnd"/>
        <w:r w:rsidR="00716BE7" w:rsidRPr="001D5D67">
          <w:rPr>
            <w:rFonts w:ascii="Rockwell" w:eastAsia="Rockwell" w:hAnsi="Rockwell" w:cs="Rockwell"/>
            <w:color w:val="1155CC"/>
            <w:sz w:val="22"/>
            <w:szCs w:val="22"/>
            <w:u w:val="single"/>
            <w:lang w:val="fr-CA"/>
          </w:rPr>
          <w:t xml:space="preserve"> care setting: The menace of social media</w:t>
        </w:r>
      </w:hyperlink>
    </w:p>
    <w:p w14:paraId="0A1B584F" w14:textId="6A65A4D5" w:rsidR="00E211DB" w:rsidRPr="001D5D67" w:rsidRDefault="00DC51AA" w:rsidP="00E211DB">
      <w:pPr>
        <w:rPr>
          <w:rFonts w:ascii="Rockwell" w:hAnsi="Rockwell"/>
          <w:lang w:val="fr-CA"/>
        </w:rPr>
      </w:pPr>
      <w:hyperlink r:id="rId9" w:history="1">
        <w:r w:rsidR="00E211DB" w:rsidRPr="001D5D67">
          <w:rPr>
            <w:rStyle w:val="Hyperlink"/>
            <w:rFonts w:ascii="Rockwell" w:hAnsi="Rockwell"/>
            <w:lang w:val="fr-CA"/>
          </w:rPr>
          <w:t>Médias sociaux : les possibilités, mais aussi les réalités</w:t>
        </w:r>
      </w:hyperlink>
    </w:p>
    <w:p w14:paraId="58715D43" w14:textId="77777777" w:rsidR="00E211DB" w:rsidRPr="001D5D67" w:rsidRDefault="00E211DB" w:rsidP="00E211DB">
      <w:pPr>
        <w:rPr>
          <w:rFonts w:ascii="Rockwell" w:hAnsi="Rockwell"/>
          <w:lang w:val="fr-CA"/>
        </w:rPr>
      </w:pPr>
    </w:p>
    <w:p w14:paraId="6216A08A" w14:textId="6B4F73BC" w:rsidR="00016E65" w:rsidRPr="001D5D67" w:rsidRDefault="00DC51AA" w:rsidP="00016E65">
      <w:pPr>
        <w:spacing w:after="0"/>
        <w:rPr>
          <w:rStyle w:val="Hyperlink"/>
          <w:rFonts w:ascii="Rockwell" w:hAnsi="Rockwell"/>
          <w:lang w:val="fr-CA"/>
        </w:rPr>
      </w:pPr>
      <w:hyperlink r:id="rId10" w:history="1">
        <w:r w:rsidR="00016E65" w:rsidRPr="002C6389">
          <w:rPr>
            <w:rStyle w:val="Hyperlink"/>
            <w:rFonts w:ascii="Rockwell" w:hAnsi="Rockwell"/>
          </w:rPr>
          <w:t xml:space="preserve">Freedom of expression or personal attack? </w:t>
        </w:r>
        <w:r w:rsidR="00016E65" w:rsidRPr="001D5D67">
          <w:rPr>
            <w:rStyle w:val="Hyperlink"/>
            <w:rFonts w:ascii="Rockwell" w:hAnsi="Rockwell"/>
            <w:lang w:val="fr-CA"/>
          </w:rPr>
          <w:t xml:space="preserve">Nurse </w:t>
        </w:r>
        <w:proofErr w:type="spellStart"/>
        <w:r w:rsidR="00016E65" w:rsidRPr="001D5D67">
          <w:rPr>
            <w:rStyle w:val="Hyperlink"/>
            <w:rFonts w:ascii="Rockwell" w:hAnsi="Rockwell"/>
            <w:lang w:val="fr-CA"/>
          </w:rPr>
          <w:t>appeals</w:t>
        </w:r>
        <w:proofErr w:type="spellEnd"/>
        <w:r w:rsidR="00016E65" w:rsidRPr="001D5D67">
          <w:rPr>
            <w:rStyle w:val="Hyperlink"/>
            <w:rFonts w:ascii="Rockwell" w:hAnsi="Rockwell"/>
            <w:lang w:val="fr-CA"/>
          </w:rPr>
          <w:t xml:space="preserve"> fine for Facebook post</w:t>
        </w:r>
      </w:hyperlink>
    </w:p>
    <w:p w14:paraId="6217E590" w14:textId="204BE4EC" w:rsidR="001D5D67" w:rsidRPr="001D5D67" w:rsidRDefault="00DC51AA" w:rsidP="00016E65">
      <w:pPr>
        <w:spacing w:after="0"/>
        <w:rPr>
          <w:rFonts w:ascii="Rockwell" w:hAnsi="Rockwell"/>
          <w:lang w:val="fr-CA"/>
        </w:rPr>
      </w:pPr>
      <w:hyperlink r:id="rId11" w:history="1">
        <w:r w:rsidR="001D5D67" w:rsidRPr="001D5D67">
          <w:rPr>
            <w:rStyle w:val="Hyperlink"/>
            <w:rFonts w:ascii="Rockwell" w:hAnsi="Rockwell"/>
            <w:lang w:val="fr-CA"/>
          </w:rPr>
          <w:t xml:space="preserve">Carolyn </w:t>
        </w:r>
        <w:proofErr w:type="spellStart"/>
        <w:r w:rsidR="001D5D67" w:rsidRPr="001D5D67">
          <w:rPr>
            <w:rStyle w:val="Hyperlink"/>
            <w:rFonts w:ascii="Rockwell" w:hAnsi="Rockwell"/>
            <w:lang w:val="fr-CA"/>
          </w:rPr>
          <w:t>Strom</w:t>
        </w:r>
        <w:proofErr w:type="spellEnd"/>
        <w:r w:rsidR="001D5D67" w:rsidRPr="001D5D67">
          <w:rPr>
            <w:rStyle w:val="Hyperlink"/>
            <w:rFonts w:ascii="Rockwell" w:hAnsi="Rockwell"/>
            <w:lang w:val="fr-CA"/>
          </w:rPr>
          <w:t xml:space="preserve"> en attente du verdict de la Cour d’appel de la Saskatchewan</w:t>
        </w:r>
      </w:hyperlink>
    </w:p>
    <w:p w14:paraId="1656E300" w14:textId="1BBFADF0" w:rsidR="00B96247" w:rsidRPr="001D5D67" w:rsidRDefault="00DC51AA" w:rsidP="007C2E20">
      <w:pPr>
        <w:spacing w:after="0"/>
        <w:rPr>
          <w:lang w:val="fr-CA"/>
        </w:rPr>
      </w:pPr>
      <w:hyperlink r:id="rId12" w:history="1">
        <w:r w:rsidR="00016E65" w:rsidRPr="001D5D67">
          <w:rPr>
            <w:rStyle w:val="Hyperlink"/>
            <w:rFonts w:ascii="Rockwell" w:hAnsi="Rockwell"/>
            <w:lang w:val="fr-CA"/>
          </w:rPr>
          <w:t xml:space="preserve">Freedom </w:t>
        </w:r>
        <w:r w:rsidR="00F53C5D" w:rsidRPr="001D5D67">
          <w:rPr>
            <w:rStyle w:val="Hyperlink"/>
            <w:rFonts w:ascii="Rockwell" w:hAnsi="Rockwell"/>
            <w:lang w:val="fr-CA"/>
          </w:rPr>
          <w:t>o</w:t>
        </w:r>
        <w:r w:rsidR="00016E65" w:rsidRPr="001D5D67">
          <w:rPr>
            <w:rStyle w:val="Hyperlink"/>
            <w:rFonts w:ascii="Rockwell" w:hAnsi="Rockwell"/>
            <w:lang w:val="fr-CA"/>
          </w:rPr>
          <w:t xml:space="preserve">f Speech + Professional Discipline: </w:t>
        </w:r>
        <w:proofErr w:type="spellStart"/>
        <w:r w:rsidR="00016E65" w:rsidRPr="001D5D67">
          <w:rPr>
            <w:rStyle w:val="Hyperlink"/>
            <w:rFonts w:ascii="Rockwell" w:hAnsi="Rockwell"/>
            <w:lang w:val="fr-CA"/>
          </w:rPr>
          <w:t>Striking</w:t>
        </w:r>
        <w:proofErr w:type="spellEnd"/>
        <w:r w:rsidR="00016E65" w:rsidRPr="001D5D67">
          <w:rPr>
            <w:rStyle w:val="Hyperlink"/>
            <w:rFonts w:ascii="Rockwell" w:hAnsi="Rockwell"/>
            <w:lang w:val="fr-CA"/>
          </w:rPr>
          <w:t xml:space="preserve"> The Balance</w:t>
        </w:r>
      </w:hyperlink>
      <w:bookmarkStart w:id="2" w:name="_30j0zll" w:colFirst="0" w:colLast="0"/>
      <w:bookmarkEnd w:id="2"/>
    </w:p>
    <w:sectPr w:rsidR="00B96247" w:rsidRPr="001D5D67">
      <w:headerReference w:type="default" r:id="rId13"/>
      <w:footerReference w:type="default" r:id="rId14"/>
      <w:pgSz w:w="12240" w:h="15840"/>
      <w:pgMar w:top="1080" w:right="1440" w:bottom="1440" w:left="1440" w:header="720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9707E" w14:textId="77777777" w:rsidR="00DC51AA" w:rsidRDefault="00DC51AA">
      <w:pPr>
        <w:spacing w:after="0" w:line="240" w:lineRule="auto"/>
      </w:pPr>
      <w:r>
        <w:separator/>
      </w:r>
    </w:p>
  </w:endnote>
  <w:endnote w:type="continuationSeparator" w:id="0">
    <w:p w14:paraId="0EFFD63B" w14:textId="77777777" w:rsidR="00DC51AA" w:rsidRDefault="00DC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B3A0" w14:textId="0C876962" w:rsidR="00B96247" w:rsidRPr="000413E3" w:rsidRDefault="000413E3" w:rsidP="000413E3">
    <w:pPr>
      <w:jc w:val="center"/>
      <w:rPr>
        <w:rFonts w:ascii="Rockwell" w:hAnsi="Rockwell"/>
        <w:sz w:val="18"/>
        <w:szCs w:val="18"/>
        <w:lang w:val="fr-CA"/>
      </w:rPr>
    </w:pPr>
    <w:r w:rsidRPr="00DC7F91">
      <w:rPr>
        <w:rFonts w:ascii="Rockwell" w:hAnsi="Rockwell"/>
        <w:sz w:val="18"/>
        <w:szCs w:val="18"/>
        <w:lang w:val="fr-CA"/>
      </w:rPr>
      <w:t xml:space="preserve">Suivez </w:t>
    </w:r>
    <w:hyperlink r:id="rId1" w:history="1">
      <w:r w:rsidRPr="00DC7F91">
        <w:rPr>
          <w:rStyle w:val="Hyperlink"/>
          <w:rFonts w:ascii="Rockwell" w:hAnsi="Rockwell"/>
          <w:sz w:val="18"/>
          <w:szCs w:val="18"/>
          <w:lang w:val="fr-CA"/>
        </w:rPr>
        <w:t>le cours gratuit sur le Code de déontologie</w:t>
      </w:r>
    </w:hyperlink>
    <w:r w:rsidRPr="00DC7F91">
      <w:rPr>
        <w:rFonts w:ascii="Rockwell" w:hAnsi="Rockwell"/>
        <w:sz w:val="18"/>
        <w:szCs w:val="18"/>
        <w:lang w:val="fr-CA"/>
      </w:rPr>
      <w:t xml:space="preserve"> aujourd’hui!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35C9C" w14:textId="77777777" w:rsidR="00DC51AA" w:rsidRDefault="00DC51AA">
      <w:pPr>
        <w:spacing w:after="0" w:line="240" w:lineRule="auto"/>
      </w:pPr>
      <w:r>
        <w:separator/>
      </w:r>
    </w:p>
  </w:footnote>
  <w:footnote w:type="continuationSeparator" w:id="0">
    <w:p w14:paraId="221DEDCF" w14:textId="77777777" w:rsidR="00DC51AA" w:rsidRDefault="00DC5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BD7AC" w14:textId="77777777" w:rsidR="00B96247" w:rsidRDefault="00716B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02B09C52" wp14:editId="4C69AD76">
          <wp:extent cx="2553093" cy="715947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3093" cy="71594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F12BD"/>
    <w:multiLevelType w:val="multilevel"/>
    <w:tmpl w:val="41A00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9CC5215"/>
    <w:multiLevelType w:val="multilevel"/>
    <w:tmpl w:val="7F02CF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D04AD8"/>
    <w:multiLevelType w:val="multilevel"/>
    <w:tmpl w:val="E5B6F7D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wMjI1sjQ2MTa3NDdR0lEKTi0uzszPAykwqQUAzPf/WSwAAAA="/>
  </w:docVars>
  <w:rsids>
    <w:rsidRoot w:val="00B96247"/>
    <w:rsid w:val="00016E65"/>
    <w:rsid w:val="000413E3"/>
    <w:rsid w:val="001D5D67"/>
    <w:rsid w:val="00201744"/>
    <w:rsid w:val="002C6389"/>
    <w:rsid w:val="00361B6B"/>
    <w:rsid w:val="003C4894"/>
    <w:rsid w:val="003D136E"/>
    <w:rsid w:val="004B3067"/>
    <w:rsid w:val="004B311F"/>
    <w:rsid w:val="005F3CF5"/>
    <w:rsid w:val="00620CE3"/>
    <w:rsid w:val="00695099"/>
    <w:rsid w:val="006E31B2"/>
    <w:rsid w:val="00714C0E"/>
    <w:rsid w:val="00716BE7"/>
    <w:rsid w:val="007C2E20"/>
    <w:rsid w:val="007C3084"/>
    <w:rsid w:val="008F7E74"/>
    <w:rsid w:val="009808F1"/>
    <w:rsid w:val="00B96247"/>
    <w:rsid w:val="00BD1C63"/>
    <w:rsid w:val="00BF68FF"/>
    <w:rsid w:val="00C50856"/>
    <w:rsid w:val="00C95FEA"/>
    <w:rsid w:val="00CA5CB8"/>
    <w:rsid w:val="00DC51AA"/>
    <w:rsid w:val="00E211DB"/>
    <w:rsid w:val="00E74EA4"/>
    <w:rsid w:val="00F53C5D"/>
    <w:rsid w:val="00F564CB"/>
    <w:rsid w:val="00FC425F"/>
    <w:rsid w:val="00FF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4E826"/>
  <w15:docId w15:val="{2D11E70F-80E7-43E4-914A-41F71EA1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16E6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6E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0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95FEA"/>
    <w:rPr>
      <w:rFonts w:ascii="Century Gothic" w:hAnsi="Century Gothic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E3"/>
  </w:style>
  <w:style w:type="paragraph" w:styleId="Footer">
    <w:name w:val="footer"/>
    <w:basedOn w:val="Normal"/>
    <w:link w:val="FooterChar"/>
    <w:uiPriority w:val="99"/>
    <w:unhideWhenUsed/>
    <w:rsid w:val="000413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E3"/>
  </w:style>
  <w:style w:type="character" w:styleId="FollowedHyperlink">
    <w:name w:val="FollowedHyperlink"/>
    <w:basedOn w:val="DefaultParagraphFont"/>
    <w:uiPriority w:val="99"/>
    <w:semiHidden/>
    <w:unhideWhenUsed/>
    <w:rsid w:val="00620C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alnews.com/protecting-confidentiality-in-the-health-care-setting-the-menace-of-social-medi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ci.radio-canada.ca/nouvelle/1302400/carolyn-strom-infirmiere-prince-albert-saskatchewan-appel-message-facebook" TargetMode="External"/><Relationship Id="rId12" Type="http://schemas.openxmlformats.org/officeDocument/2006/relationships/hyperlink" Target="http://www.mondaq.com/canada/x/741598/Social+Media/Freedom+Of+Speech+Professional+Discipline+Striking+The+Balanc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ci.radio-canada.ca/nouvelle/1305430/carolyn-strom-infirmiere-appel-saskatchewan-tribuna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ctvnews.ca/health/freedom-of-expression-or-personal-attack-nurse-appeals-fine-for-facebook-post-1.459724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mpa-acpm.ca/fr/advice-publications/browse-articles/2014/social-media-the-opportunities-the-realiti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arn.csmls.org/topclass/login.do?redirectTo=%2Fexpand.do%3Ftemplate%3DCatalogBrowse%26catId%3D1394%26CatalogBrowse%26catId%3D1394%2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</dc:creator>
  <cp:lastModifiedBy>Laura Zychla</cp:lastModifiedBy>
  <cp:revision>2</cp:revision>
  <cp:lastPrinted>2019-10-08T20:14:00Z</cp:lastPrinted>
  <dcterms:created xsi:type="dcterms:W3CDTF">2019-10-28T13:41:00Z</dcterms:created>
  <dcterms:modified xsi:type="dcterms:W3CDTF">2019-10-28T13:41:00Z</dcterms:modified>
</cp:coreProperties>
</file>