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64E3" w14:textId="39BBB8E5" w:rsidR="00EF2F69" w:rsidRPr="001C5EBC" w:rsidRDefault="001C5EBC" w:rsidP="00DC7F91">
      <w:pPr>
        <w:pStyle w:val="CSMLS-Heading"/>
        <w:spacing w:after="360"/>
        <w:rPr>
          <w:lang w:val="fr-CA"/>
        </w:rPr>
      </w:pPr>
      <w:bookmarkStart w:id="0" w:name="_GoBack"/>
      <w:bookmarkEnd w:id="0"/>
      <w:r>
        <w:rPr>
          <w:lang w:val="fr-CA"/>
        </w:rPr>
        <w:t>L</w:t>
      </w:r>
      <w:r w:rsidR="00E934DE">
        <w:rPr>
          <w:lang w:val="fr-CA"/>
        </w:rPr>
        <w:t>’</w:t>
      </w:r>
      <w:r>
        <w:rPr>
          <w:lang w:val="fr-CA"/>
        </w:rPr>
        <w:t>éthique à la carte</w:t>
      </w:r>
      <w:r w:rsidR="00EF2F69" w:rsidRPr="001C5EBC">
        <w:rPr>
          <w:lang w:val="fr-CA"/>
        </w:rPr>
        <w:t xml:space="preserve"> – </w:t>
      </w:r>
      <w:r>
        <w:rPr>
          <w:lang w:val="fr-CA"/>
        </w:rPr>
        <w:t>Aiguille contaminée</w:t>
      </w:r>
    </w:p>
    <w:p w14:paraId="6AA110BC" w14:textId="0E9A8220" w:rsidR="00073FEC" w:rsidRPr="001C5EBC" w:rsidRDefault="00073FEC" w:rsidP="00B75685">
      <w:pPr>
        <w:spacing w:after="0"/>
        <w:rPr>
          <w:rFonts w:ascii="Century Gothic" w:hAnsi="Century Gothic"/>
          <w:b/>
          <w:sz w:val="20"/>
          <w:szCs w:val="20"/>
          <w:lang w:val="fr-CA"/>
        </w:rPr>
      </w:pPr>
      <w:r w:rsidRPr="001C5EBC">
        <w:rPr>
          <w:rFonts w:ascii="Century Gothic" w:hAnsi="Century Gothic"/>
          <w:b/>
          <w:sz w:val="20"/>
          <w:szCs w:val="20"/>
          <w:lang w:val="fr-CA"/>
        </w:rPr>
        <w:t>Article</w:t>
      </w:r>
      <w:r w:rsidR="00F94653" w:rsidRPr="001C5EBC">
        <w:rPr>
          <w:rFonts w:ascii="Century Gothic" w:hAnsi="Century Gothic"/>
          <w:b/>
          <w:sz w:val="20"/>
          <w:szCs w:val="20"/>
          <w:lang w:val="fr-CA"/>
        </w:rPr>
        <w:t xml:space="preserve"> (en anglai</w:t>
      </w:r>
      <w:r w:rsidR="001C5EBC" w:rsidRPr="001C5EBC">
        <w:rPr>
          <w:rFonts w:ascii="Century Gothic" w:hAnsi="Century Gothic"/>
          <w:b/>
          <w:sz w:val="20"/>
          <w:szCs w:val="20"/>
          <w:lang w:val="fr-CA"/>
        </w:rPr>
        <w:t>s</w:t>
      </w:r>
      <w:r w:rsidR="00F94653" w:rsidRPr="001C5EBC">
        <w:rPr>
          <w:rFonts w:ascii="Century Gothic" w:hAnsi="Century Gothic"/>
          <w:b/>
          <w:sz w:val="20"/>
          <w:szCs w:val="20"/>
          <w:lang w:val="fr-CA"/>
        </w:rPr>
        <w:t>) :</w:t>
      </w:r>
      <w:r w:rsidRPr="001C5EBC">
        <w:rPr>
          <w:rFonts w:ascii="Century Gothic" w:hAnsi="Century Gothic"/>
          <w:b/>
          <w:sz w:val="20"/>
          <w:szCs w:val="20"/>
          <w:lang w:val="fr-CA"/>
        </w:rPr>
        <w:t xml:space="preserve"> </w:t>
      </w:r>
      <w:hyperlink r:id="rId8" w:history="1">
        <w:r w:rsidR="00AE7DA1">
          <w:rPr>
            <w:rStyle w:val="Hyperlink"/>
            <w:rFonts w:ascii="Century Gothic" w:hAnsi="Century Gothic"/>
            <w:b/>
            <w:sz w:val="20"/>
            <w:szCs w:val="20"/>
            <w:lang w:val="fr-CA"/>
          </w:rPr>
          <w:t xml:space="preserve">Aiguille contaminée utilisée pour prélever du sang d'un enfant à un hôpital à St. </w:t>
        </w:r>
        <w:proofErr w:type="spellStart"/>
        <w:r w:rsidR="00AE7DA1">
          <w:rPr>
            <w:rStyle w:val="Hyperlink"/>
            <w:rFonts w:ascii="Century Gothic" w:hAnsi="Century Gothic"/>
            <w:b/>
            <w:sz w:val="20"/>
            <w:szCs w:val="20"/>
            <w:lang w:val="fr-CA"/>
          </w:rPr>
          <w:t>Catharines</w:t>
        </w:r>
        <w:proofErr w:type="spellEnd"/>
      </w:hyperlink>
    </w:p>
    <w:p w14:paraId="400BF24F" w14:textId="7E3E70EE" w:rsidR="00073FEC" w:rsidRPr="001C5EBC" w:rsidRDefault="001C5EBC" w:rsidP="00EF2F69">
      <w:pPr>
        <w:spacing w:before="120"/>
        <w:rPr>
          <w:rFonts w:ascii="Century Gothic" w:hAnsi="Century Gothic"/>
          <w:b/>
          <w:sz w:val="20"/>
          <w:szCs w:val="20"/>
          <w:lang w:val="fr-CA"/>
        </w:rPr>
      </w:pPr>
      <w:r w:rsidRPr="001C5EBC">
        <w:rPr>
          <w:rStyle w:val="Strong"/>
          <w:lang w:val="fr-CA"/>
        </w:rPr>
        <w:t>Quelle a été la situation?</w:t>
      </w:r>
    </w:p>
    <w:p w14:paraId="49ADC822" w14:textId="57C0EF11" w:rsidR="001C5EBC" w:rsidRDefault="001C5EBC" w:rsidP="00E80AC8">
      <w:pPr>
        <w:rPr>
          <w:rFonts w:ascii="Rockwell" w:hAnsi="Rockwell"/>
          <w:lang w:val="fr-CA"/>
        </w:rPr>
      </w:pPr>
      <w:r>
        <w:rPr>
          <w:rFonts w:ascii="Rockwell" w:hAnsi="Rockwell"/>
          <w:lang w:val="fr-CA"/>
        </w:rPr>
        <w:t xml:space="preserve">Une </w:t>
      </w:r>
      <w:r w:rsidRPr="001C5EBC">
        <w:rPr>
          <w:rFonts w:ascii="Rockwell" w:hAnsi="Rockwell"/>
          <w:lang w:val="fr-CA"/>
        </w:rPr>
        <w:t>préposée aux services de soutien à la personne</w:t>
      </w:r>
      <w:r>
        <w:rPr>
          <w:rFonts w:ascii="Rockwell" w:hAnsi="Rockwell"/>
          <w:lang w:val="fr-CA"/>
        </w:rPr>
        <w:t xml:space="preserve">, </w:t>
      </w:r>
      <w:r w:rsidR="00CF36FE">
        <w:rPr>
          <w:rFonts w:ascii="Rockwell" w:hAnsi="Rockwell"/>
          <w:lang w:val="fr-CA"/>
        </w:rPr>
        <w:t>qui aidait</w:t>
      </w:r>
      <w:r>
        <w:rPr>
          <w:rFonts w:ascii="Rockwell" w:hAnsi="Rockwell"/>
          <w:lang w:val="fr-CA"/>
        </w:rPr>
        <w:t xml:space="preserve"> une infirmière à prélever du sang à un enfant de deux ans dans la salle d</w:t>
      </w:r>
      <w:r w:rsidR="00E934DE">
        <w:rPr>
          <w:rFonts w:ascii="Rockwell" w:hAnsi="Rockwell"/>
          <w:lang w:val="fr-CA"/>
        </w:rPr>
        <w:t>’</w:t>
      </w:r>
      <w:r>
        <w:rPr>
          <w:rFonts w:ascii="Rockwell" w:hAnsi="Rockwell"/>
          <w:lang w:val="fr-CA"/>
        </w:rPr>
        <w:t>urgence d</w:t>
      </w:r>
      <w:r w:rsidR="00E934DE">
        <w:rPr>
          <w:rFonts w:ascii="Rockwell" w:hAnsi="Rockwell"/>
          <w:lang w:val="fr-CA"/>
        </w:rPr>
        <w:t>’</w:t>
      </w:r>
      <w:r>
        <w:rPr>
          <w:rFonts w:ascii="Rockwell" w:hAnsi="Rockwell"/>
          <w:lang w:val="fr-CA"/>
        </w:rPr>
        <w:t xml:space="preserve">un hôpital, </w:t>
      </w:r>
      <w:r w:rsidR="00CF36FE">
        <w:rPr>
          <w:rFonts w:ascii="Rockwell" w:hAnsi="Rockwell"/>
          <w:lang w:val="fr-CA"/>
        </w:rPr>
        <w:t>s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 xml:space="preserve">est </w:t>
      </w:r>
      <w:r w:rsidR="009B0B84">
        <w:rPr>
          <w:rFonts w:ascii="Rockwell" w:hAnsi="Rockwell"/>
          <w:lang w:val="fr-CA"/>
        </w:rPr>
        <w:t>piqué</w:t>
      </w:r>
      <w:r w:rsidR="00CF36FE">
        <w:rPr>
          <w:rFonts w:ascii="Rockwell" w:hAnsi="Rockwell"/>
          <w:lang w:val="fr-CA"/>
        </w:rPr>
        <w:t>e</w:t>
      </w:r>
      <w:r w:rsidR="009B0B84">
        <w:rPr>
          <w:rFonts w:ascii="Rockwell" w:hAnsi="Rockwell"/>
          <w:lang w:val="fr-CA"/>
        </w:rPr>
        <w:t xml:space="preserve"> le</w:t>
      </w:r>
      <w:r w:rsidR="00CF36FE">
        <w:rPr>
          <w:rFonts w:ascii="Rockwell" w:hAnsi="Rockwell"/>
          <w:lang w:val="fr-CA"/>
        </w:rPr>
        <w:t xml:space="preserve"> doigt avec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aiguille. Contrairement à la politique de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hôpital, la préposée aux services de soutien a passé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aiguille contaminée à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infirmière, qui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 xml:space="preserve">a ensuite utilisée pour prélever du sang </w:t>
      </w:r>
      <w:r w:rsidR="00AE7DA1">
        <w:rPr>
          <w:rFonts w:ascii="Rockwell" w:hAnsi="Rockwell"/>
          <w:lang w:val="fr-CA"/>
        </w:rPr>
        <w:t xml:space="preserve">de </w:t>
      </w:r>
      <w:r w:rsidR="00CF36FE">
        <w:rPr>
          <w:rFonts w:ascii="Rockwell" w:hAnsi="Rockwell"/>
          <w:lang w:val="fr-CA"/>
        </w:rPr>
        <w:t>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enfant. La mère de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enfant et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infirmière n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 xml:space="preserve">étaient pas au courant que la préposée aux services de soutien </w:t>
      </w:r>
      <w:r w:rsidR="00AE7DA1">
        <w:rPr>
          <w:rFonts w:ascii="Rockwell" w:hAnsi="Rockwell"/>
          <w:lang w:val="fr-CA"/>
        </w:rPr>
        <w:t>s’était</w:t>
      </w:r>
      <w:r w:rsidR="00CF36FE">
        <w:rPr>
          <w:rFonts w:ascii="Rockwell" w:hAnsi="Rockwell"/>
          <w:lang w:val="fr-CA"/>
        </w:rPr>
        <w:t xml:space="preserve"> piquée le doigt avec l</w:t>
      </w:r>
      <w:r w:rsidR="00E934DE">
        <w:rPr>
          <w:rFonts w:ascii="Rockwell" w:hAnsi="Rockwell"/>
          <w:lang w:val="fr-CA"/>
        </w:rPr>
        <w:t>’</w:t>
      </w:r>
      <w:r w:rsidR="00CF36FE">
        <w:rPr>
          <w:rFonts w:ascii="Rockwell" w:hAnsi="Rockwell"/>
          <w:lang w:val="fr-CA"/>
        </w:rPr>
        <w:t>aiguille.</w:t>
      </w:r>
      <w:r w:rsidR="00F61855">
        <w:rPr>
          <w:rFonts w:ascii="Rockwell" w:hAnsi="Rockwell"/>
          <w:lang w:val="fr-CA"/>
        </w:rPr>
        <w:t xml:space="preserve"> Cette dernière a déposé un rapport </w:t>
      </w:r>
      <w:r w:rsidR="00DC212F">
        <w:rPr>
          <w:rFonts w:ascii="Rockwell" w:hAnsi="Rockwell"/>
          <w:lang w:val="fr-CA"/>
        </w:rPr>
        <w:t>d</w:t>
      </w:r>
      <w:r w:rsidR="00E934DE">
        <w:rPr>
          <w:rFonts w:ascii="Rockwell" w:hAnsi="Rockwell"/>
          <w:lang w:val="fr-CA"/>
        </w:rPr>
        <w:t>’</w:t>
      </w:r>
      <w:r w:rsidR="00DC212F">
        <w:rPr>
          <w:rFonts w:ascii="Rockwell" w:hAnsi="Rockwell"/>
          <w:lang w:val="fr-CA"/>
        </w:rPr>
        <w:t xml:space="preserve">incident suite au prélèvement du sang. </w:t>
      </w:r>
      <w:r w:rsidR="00AE7DA1">
        <w:rPr>
          <w:rFonts w:ascii="Rockwell" w:hAnsi="Rockwell"/>
          <w:lang w:val="fr-CA"/>
        </w:rPr>
        <w:t>Cela</w:t>
      </w:r>
      <w:r w:rsidR="00DC212F">
        <w:rPr>
          <w:rFonts w:ascii="Rockwell" w:hAnsi="Rockwell"/>
          <w:lang w:val="fr-CA"/>
        </w:rPr>
        <w:t xml:space="preserve"> a pris 48 heures avant que le rapport ait été traité et que la famille ait été avisée de l</w:t>
      </w:r>
      <w:r w:rsidR="00E934DE">
        <w:rPr>
          <w:rFonts w:ascii="Rockwell" w:hAnsi="Rockwell"/>
          <w:lang w:val="fr-CA"/>
        </w:rPr>
        <w:t>’</w:t>
      </w:r>
      <w:r w:rsidR="00DC212F">
        <w:rPr>
          <w:rFonts w:ascii="Rockwell" w:hAnsi="Rockwell"/>
          <w:lang w:val="fr-CA"/>
        </w:rPr>
        <w:t>incident.</w:t>
      </w:r>
    </w:p>
    <w:p w14:paraId="46C00C3E" w14:textId="2A70535D" w:rsidR="00073FEC" w:rsidRPr="001C5EBC" w:rsidRDefault="001C5EBC" w:rsidP="001C5EBC">
      <w:pPr>
        <w:pStyle w:val="CSMLS-SubHeading"/>
        <w:rPr>
          <w:lang w:val="fr-CA"/>
        </w:rPr>
      </w:pPr>
      <w:r w:rsidRPr="001C5EBC">
        <w:rPr>
          <w:lang w:val="fr-CA"/>
        </w:rPr>
        <w:t>Qu</w:t>
      </w:r>
      <w:r w:rsidR="00E934DE">
        <w:rPr>
          <w:lang w:val="fr-CA"/>
        </w:rPr>
        <w:t>’</w:t>
      </w:r>
      <w:r w:rsidRPr="001C5EBC">
        <w:rPr>
          <w:lang w:val="fr-CA"/>
        </w:rPr>
        <w:t>est-ce qui a mal tourné?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02"/>
        <w:gridCol w:w="3136"/>
      </w:tblGrid>
      <w:tr w:rsidR="00A94212" w14:paraId="0D849D86" w14:textId="77777777" w:rsidTr="00A94212">
        <w:trPr>
          <w:jc w:val="center"/>
        </w:trPr>
        <w:tc>
          <w:tcPr>
            <w:tcW w:w="3192" w:type="dxa"/>
          </w:tcPr>
          <w:p w14:paraId="672A5A29" w14:textId="2E86DD6A" w:rsidR="00A94212" w:rsidRDefault="00A94212" w:rsidP="00A94212">
            <w:pPr>
              <w:jc w:val="center"/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Manque de responsabilité professionnelle</w:t>
            </w:r>
          </w:p>
        </w:tc>
        <w:tc>
          <w:tcPr>
            <w:tcW w:w="3192" w:type="dxa"/>
          </w:tcPr>
          <w:p w14:paraId="5ED1D7C5" w14:textId="50707A42" w:rsidR="00A94212" w:rsidRDefault="00A94212" w:rsidP="00A94212">
            <w:pPr>
              <w:jc w:val="center"/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Négligence de pratiques sécuritaires</w:t>
            </w:r>
          </w:p>
        </w:tc>
        <w:tc>
          <w:tcPr>
            <w:tcW w:w="3192" w:type="dxa"/>
          </w:tcPr>
          <w:p w14:paraId="041180CD" w14:textId="0499E803" w:rsidR="00A94212" w:rsidRPr="001C5EBC" w:rsidRDefault="00A94212" w:rsidP="00A94212">
            <w:pPr>
              <w:jc w:val="center"/>
              <w:rPr>
                <w:rFonts w:ascii="Rockwell" w:hAnsi="Rockwell"/>
                <w:lang w:val="fr-CA"/>
              </w:rPr>
            </w:pPr>
            <w:r>
              <w:rPr>
                <w:rFonts w:ascii="Rockwell" w:hAnsi="Rockwell"/>
                <w:lang w:val="fr-CA"/>
              </w:rPr>
              <w:t>Aucune responsabilisation</w:t>
            </w:r>
          </w:p>
          <w:p w14:paraId="334F8A97" w14:textId="77777777" w:rsidR="00A94212" w:rsidRDefault="00A94212" w:rsidP="00073FEC">
            <w:pPr>
              <w:rPr>
                <w:rFonts w:ascii="Rockwell" w:hAnsi="Rockwell"/>
                <w:lang w:val="fr-CA"/>
              </w:rPr>
            </w:pPr>
          </w:p>
        </w:tc>
      </w:tr>
    </w:tbl>
    <w:p w14:paraId="1C2C83ED" w14:textId="77777777" w:rsidR="00504ECC" w:rsidRDefault="00504ECC" w:rsidP="00EF2F69">
      <w:pPr>
        <w:rPr>
          <w:rFonts w:ascii="Century Gothic" w:hAnsi="Century Gothic"/>
          <w:b/>
          <w:sz w:val="20"/>
          <w:szCs w:val="20"/>
          <w:lang w:val="fr-CA"/>
        </w:rPr>
      </w:pPr>
    </w:p>
    <w:p w14:paraId="07428905" w14:textId="0C1C878C" w:rsidR="00073FEC" w:rsidRPr="001C5EBC" w:rsidRDefault="001C5EBC" w:rsidP="00EF2F69">
      <w:pPr>
        <w:rPr>
          <w:rFonts w:ascii="Century Gothic" w:hAnsi="Century Gothic"/>
          <w:b/>
          <w:sz w:val="20"/>
          <w:szCs w:val="20"/>
          <w:lang w:val="fr-CA"/>
        </w:rPr>
      </w:pPr>
      <w:r w:rsidRPr="001C5EBC">
        <w:rPr>
          <w:rFonts w:ascii="Century Gothic" w:hAnsi="Century Gothic"/>
          <w:b/>
          <w:sz w:val="20"/>
          <w:szCs w:val="20"/>
          <w:lang w:val="fr-CA"/>
        </w:rPr>
        <w:t>Utilisation du code de déontologie</w:t>
      </w:r>
    </w:p>
    <w:p w14:paraId="2D08E436" w14:textId="4D2A6891" w:rsidR="00190424" w:rsidRPr="00504ECC" w:rsidRDefault="00504ECC" w:rsidP="00190424">
      <w:pPr>
        <w:rPr>
          <w:rFonts w:ascii="Rockwell" w:hAnsi="Rockwell"/>
          <w:lang w:val="fr-CA"/>
        </w:rPr>
      </w:pPr>
      <w:r w:rsidRPr="00504ECC">
        <w:rPr>
          <w:rFonts w:ascii="Rockwell" w:hAnsi="Rockwell" w:cs="Arial"/>
          <w:lang w:val="fr-CA"/>
        </w:rPr>
        <w:t xml:space="preserve">Le </w:t>
      </w:r>
      <w:hyperlink r:id="rId9" w:history="1">
        <w:r w:rsidRPr="00504ECC">
          <w:rPr>
            <w:rStyle w:val="Hyperlink"/>
            <w:rFonts w:ascii="Rockwell" w:hAnsi="Rockwell" w:cs="Arial"/>
            <w:lang w:val="fr-CA"/>
          </w:rPr>
          <w:t>Code de déontologie de la SCSLM</w:t>
        </w:r>
      </w:hyperlink>
      <w:r w:rsidRPr="00504ECC">
        <w:rPr>
          <w:rFonts w:ascii="Rockwell" w:hAnsi="Rockwell" w:cs="Arial"/>
          <w:color w:val="3F3F3F"/>
          <w:lang w:val="fr-CA"/>
        </w:rPr>
        <w:t xml:space="preserve"> </w:t>
      </w:r>
      <w:r w:rsidRPr="00504ECC">
        <w:rPr>
          <w:rFonts w:ascii="Rockwell" w:hAnsi="Rockwell" w:cs="Arial"/>
          <w:lang w:val="fr-CA"/>
        </w:rPr>
        <w:t>vise à définir et à développer les concepts d</w:t>
      </w:r>
      <w:r w:rsidR="00E934DE">
        <w:rPr>
          <w:rFonts w:ascii="Rockwell" w:hAnsi="Rockwell" w:cs="Arial"/>
          <w:lang w:val="fr-CA"/>
        </w:rPr>
        <w:t>’</w:t>
      </w:r>
      <w:r w:rsidRPr="00504ECC">
        <w:rPr>
          <w:rFonts w:ascii="Rockwell" w:hAnsi="Rockwell" w:cs="Arial"/>
          <w:lang w:val="fr-CA"/>
        </w:rPr>
        <w:t xml:space="preserve">éthique intrinsèques contenus dans le </w:t>
      </w:r>
      <w:hyperlink r:id="rId10" w:history="1">
        <w:r w:rsidRPr="00504ECC">
          <w:rPr>
            <w:rStyle w:val="Hyperlink"/>
            <w:rFonts w:ascii="Rockwell" w:hAnsi="Rockwell" w:cs="Arial"/>
            <w:lang w:val="fr-CA"/>
          </w:rPr>
          <w:t>Code de conduite professionnelle de la SCSLM</w:t>
        </w:r>
      </w:hyperlink>
      <w:r w:rsidRPr="00504ECC">
        <w:rPr>
          <w:rFonts w:ascii="Rockwell" w:hAnsi="Rockwell" w:cs="Arial"/>
          <w:lang w:val="fr-CA"/>
        </w:rPr>
        <w:t>, à documenter les attentes à l</w:t>
      </w:r>
      <w:r w:rsidR="00E934DE">
        <w:rPr>
          <w:rFonts w:ascii="Rockwell" w:hAnsi="Rockwell" w:cs="Arial"/>
          <w:lang w:val="fr-CA"/>
        </w:rPr>
        <w:t>’</w:t>
      </w:r>
      <w:r w:rsidRPr="00504ECC">
        <w:rPr>
          <w:rFonts w:ascii="Rockwell" w:hAnsi="Rockwell" w:cs="Arial"/>
          <w:lang w:val="fr-CA"/>
        </w:rPr>
        <w:t>égard du comportement éthique de tous les professionnels de laboratoire médical, et à fournir un cadre lors des évaluations professionnelles et des autoévaluations personnelles. Envisagez comment adhérer à ces codes auraient pu empêcher cette situation. Quels autres codes s</w:t>
      </w:r>
      <w:r w:rsidR="00E934DE">
        <w:rPr>
          <w:rFonts w:ascii="Rockwell" w:hAnsi="Rockwell" w:cs="Arial"/>
          <w:lang w:val="fr-CA"/>
        </w:rPr>
        <w:t>’</w:t>
      </w:r>
      <w:r w:rsidRPr="00504ECC">
        <w:rPr>
          <w:rFonts w:ascii="Rockwell" w:hAnsi="Rockwell" w:cs="Arial"/>
          <w:lang w:val="fr-CA"/>
        </w:rPr>
        <w:t>y appliquent?</w:t>
      </w:r>
    </w:p>
    <w:p w14:paraId="57FC69E1" w14:textId="3C1E072A" w:rsidR="00B75685" w:rsidRPr="001C5EBC" w:rsidRDefault="00F67845" w:rsidP="00C60084">
      <w:pPr>
        <w:spacing w:after="0"/>
        <w:rPr>
          <w:rFonts w:ascii="Rockwell" w:hAnsi="Rockwell"/>
          <w:i/>
          <w:lang w:val="fr-CA"/>
        </w:rPr>
      </w:pPr>
      <w:r w:rsidRPr="00F67845">
        <w:rPr>
          <w:rFonts w:ascii="Rockwell" w:hAnsi="Rockwell"/>
          <w:i/>
          <w:lang w:val="fr-CA"/>
        </w:rPr>
        <w:t>Code de déontologie</w:t>
      </w:r>
    </w:p>
    <w:p w14:paraId="4B761D35" w14:textId="28DD1365" w:rsidR="00B75685" w:rsidRPr="001C5EBC" w:rsidRDefault="00D5757F" w:rsidP="00E934D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lang w:val="fr-CA"/>
        </w:rPr>
      </w:pPr>
      <w:r w:rsidRPr="001C5EBC">
        <w:rPr>
          <w:rFonts w:ascii="Rockwell" w:hAnsi="Rockwell"/>
          <w:lang w:val="fr-CA"/>
        </w:rPr>
        <w:t xml:space="preserve">1.3 </w:t>
      </w:r>
      <w:r w:rsidR="00E934DE" w:rsidRPr="00E934DE">
        <w:rPr>
          <w:rFonts w:ascii="Rockwell" w:hAnsi="Rockwell"/>
          <w:lang w:val="fr-CA"/>
        </w:rPr>
        <w:t>Reconnaître des situations risquées afin de minimiser les effets nuisibles sur les patients, le personnel et soi-même.</w:t>
      </w:r>
    </w:p>
    <w:p w14:paraId="26D5C8AF" w14:textId="12287311" w:rsidR="00D5757F" w:rsidRPr="001C5EBC" w:rsidRDefault="00D5757F" w:rsidP="00E934D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lang w:val="fr-CA"/>
        </w:rPr>
      </w:pPr>
      <w:r w:rsidRPr="001C5EBC">
        <w:rPr>
          <w:rFonts w:ascii="Rockwell" w:hAnsi="Rockwell"/>
          <w:lang w:val="fr-CA"/>
        </w:rPr>
        <w:t xml:space="preserve">1.4 </w:t>
      </w:r>
      <w:r w:rsidR="00E934DE" w:rsidRPr="00E934DE">
        <w:rPr>
          <w:rFonts w:ascii="Rockwell" w:hAnsi="Rockwell"/>
          <w:lang w:val="fr-CA"/>
        </w:rPr>
        <w:t>Utiliser les mécanismes professionnels et institutionnels pour intervenir lors de l</w:t>
      </w:r>
      <w:r w:rsidR="00E934DE">
        <w:rPr>
          <w:rFonts w:ascii="Rockwell" w:hAnsi="Rockwell"/>
          <w:lang w:val="fr-CA"/>
        </w:rPr>
        <w:t>’</w:t>
      </w:r>
      <w:r w:rsidR="00E934DE" w:rsidRPr="00E934DE">
        <w:rPr>
          <w:rFonts w:ascii="Rockwell" w:hAnsi="Rockwell"/>
          <w:lang w:val="fr-CA"/>
        </w:rPr>
        <w:t>observation de pratiques non sécuritaires, incompétentes ou contraires à l</w:t>
      </w:r>
      <w:r w:rsidR="00E934DE">
        <w:rPr>
          <w:rFonts w:ascii="Rockwell" w:hAnsi="Rockwell"/>
          <w:lang w:val="fr-CA"/>
        </w:rPr>
        <w:t>’</w:t>
      </w:r>
      <w:r w:rsidR="00E934DE" w:rsidRPr="00E934DE">
        <w:rPr>
          <w:rFonts w:ascii="Rockwell" w:hAnsi="Rockwell"/>
          <w:lang w:val="fr-CA"/>
        </w:rPr>
        <w:t>éthique.</w:t>
      </w:r>
    </w:p>
    <w:p w14:paraId="36FD046B" w14:textId="21F15E07" w:rsidR="00D5757F" w:rsidRPr="001C5EBC" w:rsidRDefault="00D5757F" w:rsidP="00E934D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lang w:val="fr-CA"/>
        </w:rPr>
      </w:pPr>
      <w:r w:rsidRPr="001C5EBC">
        <w:rPr>
          <w:rFonts w:ascii="Rockwell" w:hAnsi="Rockwell"/>
          <w:lang w:val="fr-CA"/>
        </w:rPr>
        <w:t xml:space="preserve">1.5 </w:t>
      </w:r>
      <w:r w:rsidR="00E934DE" w:rsidRPr="00E934DE">
        <w:rPr>
          <w:rFonts w:ascii="Rockwell" w:hAnsi="Rockwell"/>
          <w:lang w:val="fr-CA"/>
        </w:rPr>
        <w:t>Assumer la responsabilité des erreurs commises ou observées et prendre des mesures immédiates afin d</w:t>
      </w:r>
      <w:r w:rsidR="00E934DE">
        <w:rPr>
          <w:rFonts w:ascii="Rockwell" w:hAnsi="Rockwell"/>
          <w:lang w:val="fr-CA"/>
        </w:rPr>
        <w:t>’</w:t>
      </w:r>
      <w:r w:rsidR="00E934DE" w:rsidRPr="00E934DE">
        <w:rPr>
          <w:rFonts w:ascii="Rockwell" w:hAnsi="Rockwell"/>
          <w:lang w:val="fr-CA"/>
        </w:rPr>
        <w:t>éviter ou de minimiser les effets nuisibles y associés.</w:t>
      </w:r>
    </w:p>
    <w:p w14:paraId="75A09BBD" w14:textId="2D6B1541" w:rsidR="00073FEC" w:rsidRPr="001C5EBC" w:rsidRDefault="00D5757F" w:rsidP="00E934DE">
      <w:pPr>
        <w:pStyle w:val="ListParagraph"/>
        <w:numPr>
          <w:ilvl w:val="0"/>
          <w:numId w:val="2"/>
        </w:numPr>
        <w:rPr>
          <w:rFonts w:ascii="Rockwell" w:hAnsi="Rockwell"/>
          <w:lang w:val="fr-CA"/>
        </w:rPr>
      </w:pPr>
      <w:r w:rsidRPr="001C5EBC">
        <w:rPr>
          <w:rFonts w:ascii="Rockwell" w:hAnsi="Rockwell"/>
          <w:lang w:val="fr-CA"/>
        </w:rPr>
        <w:t xml:space="preserve">4.1 </w:t>
      </w:r>
      <w:r w:rsidR="00E934DE" w:rsidRPr="00E934DE">
        <w:rPr>
          <w:rFonts w:ascii="Rockwell" w:hAnsi="Rockwell"/>
          <w:lang w:val="fr-CA"/>
        </w:rPr>
        <w:t xml:space="preserve">Être responsable surtout </w:t>
      </w:r>
      <w:r w:rsidR="00AE7DA1">
        <w:rPr>
          <w:rFonts w:ascii="Rockwell" w:hAnsi="Rockwell"/>
          <w:lang w:val="fr-CA"/>
        </w:rPr>
        <w:t>envers le</w:t>
      </w:r>
      <w:r w:rsidR="00E934DE" w:rsidRPr="00E934DE">
        <w:rPr>
          <w:rFonts w:ascii="Rockwell" w:hAnsi="Rockwell"/>
          <w:lang w:val="fr-CA"/>
        </w:rPr>
        <w:t xml:space="preserve"> patient, puis la société et l</w:t>
      </w:r>
      <w:r w:rsidR="00E934DE">
        <w:rPr>
          <w:rFonts w:ascii="Rockwell" w:hAnsi="Rockwell"/>
          <w:lang w:val="fr-CA"/>
        </w:rPr>
        <w:t>’</w:t>
      </w:r>
      <w:r w:rsidR="00E934DE" w:rsidRPr="00E934DE">
        <w:rPr>
          <w:rFonts w:ascii="Rockwell" w:hAnsi="Rockwell"/>
          <w:lang w:val="fr-CA"/>
        </w:rPr>
        <w:t>environnement, pour assurer l</w:t>
      </w:r>
      <w:r w:rsidR="00E934DE">
        <w:rPr>
          <w:rFonts w:ascii="Rockwell" w:hAnsi="Rockwell"/>
          <w:lang w:val="fr-CA"/>
        </w:rPr>
        <w:t>’</w:t>
      </w:r>
      <w:r w:rsidR="00E934DE" w:rsidRPr="00E934DE">
        <w:rPr>
          <w:rFonts w:ascii="Rockwell" w:hAnsi="Rockwell"/>
          <w:lang w:val="fr-CA"/>
        </w:rPr>
        <w:t>exercice sécuritaire et légitime ainsi que la durabilité des ressources.</w:t>
      </w:r>
      <w:r w:rsidR="00190424" w:rsidRPr="001C5EBC">
        <w:rPr>
          <w:rFonts w:ascii="Rockwell" w:hAnsi="Rockwell"/>
          <w:lang w:val="fr-CA"/>
        </w:rPr>
        <w:t xml:space="preserve"> </w:t>
      </w:r>
    </w:p>
    <w:p w14:paraId="31C33067" w14:textId="60B47B94" w:rsidR="00B75685" w:rsidRPr="001C5EBC" w:rsidRDefault="00B75685" w:rsidP="00E80AC8">
      <w:pPr>
        <w:spacing w:after="0"/>
        <w:rPr>
          <w:rFonts w:ascii="Rockwell" w:hAnsi="Rockwell"/>
          <w:i/>
          <w:lang w:val="fr-CA"/>
        </w:rPr>
      </w:pPr>
      <w:r w:rsidRPr="001C5EBC">
        <w:rPr>
          <w:rFonts w:ascii="Rockwell" w:hAnsi="Rockwell"/>
          <w:i/>
          <w:lang w:val="fr-CA"/>
        </w:rPr>
        <w:t xml:space="preserve">Code </w:t>
      </w:r>
      <w:r w:rsidR="00F67845">
        <w:rPr>
          <w:rFonts w:ascii="Rockwell" w:hAnsi="Rockwell"/>
          <w:i/>
          <w:lang w:val="fr-CA"/>
        </w:rPr>
        <w:t>de conduite professionnelle</w:t>
      </w:r>
    </w:p>
    <w:p w14:paraId="7E2E04FF" w14:textId="2FCEB045" w:rsidR="00B75685" w:rsidRPr="001C5EBC" w:rsidRDefault="00DC7F91" w:rsidP="00DC7F91">
      <w:pPr>
        <w:pStyle w:val="ListParagraph"/>
        <w:numPr>
          <w:ilvl w:val="0"/>
          <w:numId w:val="4"/>
        </w:numPr>
        <w:spacing w:after="0"/>
        <w:rPr>
          <w:rFonts w:ascii="Rockwell" w:hAnsi="Rockwell"/>
          <w:lang w:val="fr-CA"/>
        </w:rPr>
      </w:pPr>
      <w:r w:rsidRPr="00DC7F91">
        <w:rPr>
          <w:rFonts w:ascii="Rockwell" w:hAnsi="Rockwell"/>
          <w:lang w:val="fr-CA"/>
        </w:rPr>
        <w:t>Les professionnels de laboratoire médical doivent assumer la responsabilité de leurs actes professionnels.</w:t>
      </w:r>
    </w:p>
    <w:p w14:paraId="5DF4DED1" w14:textId="0A9241B9" w:rsidR="00D5757F" w:rsidRPr="001C5EBC" w:rsidRDefault="00DC7F91" w:rsidP="00DC7F91">
      <w:pPr>
        <w:pStyle w:val="ListParagraph"/>
        <w:numPr>
          <w:ilvl w:val="0"/>
          <w:numId w:val="4"/>
        </w:numPr>
        <w:rPr>
          <w:rFonts w:ascii="Rockwell" w:hAnsi="Rockwell"/>
          <w:lang w:val="fr-CA"/>
        </w:rPr>
      </w:pPr>
      <w:r w:rsidRPr="00DC7F91">
        <w:rPr>
          <w:rFonts w:ascii="Rockwell" w:hAnsi="Rockwell"/>
          <w:lang w:val="fr-CA"/>
        </w:rPr>
        <w:t>Les professionnels de laboratoire médical doivent pratiquer des méthodes de travail sûres en tout temps a</w:t>
      </w:r>
      <w:r w:rsidR="00FF253F">
        <w:rPr>
          <w:rFonts w:ascii="Rockwell" w:hAnsi="Rockwell"/>
          <w:lang w:val="fr-CA"/>
        </w:rPr>
        <w:t>fin d’</w:t>
      </w:r>
      <w:r w:rsidRPr="00DC7F91">
        <w:rPr>
          <w:rFonts w:ascii="Rockwell" w:hAnsi="Rockwell"/>
          <w:lang w:val="fr-CA"/>
        </w:rPr>
        <w:t>assurer la sécurité des patients et des collègues de travail et la protection de l</w:t>
      </w:r>
      <w:r w:rsidR="00984F6C">
        <w:rPr>
          <w:rFonts w:ascii="Rockwell" w:hAnsi="Rockwell"/>
          <w:lang w:val="fr-CA"/>
        </w:rPr>
        <w:t>’</w:t>
      </w:r>
      <w:r w:rsidRPr="00DC7F91">
        <w:rPr>
          <w:rFonts w:ascii="Rockwell" w:hAnsi="Rockwell"/>
          <w:lang w:val="fr-CA"/>
        </w:rPr>
        <w:t>environnement.</w:t>
      </w:r>
    </w:p>
    <w:p w14:paraId="6106DAB2" w14:textId="4413FE7D" w:rsidR="00504ECC" w:rsidRDefault="00504ECC">
      <w:pPr>
        <w:rPr>
          <w:rStyle w:val="Strong"/>
          <w:lang w:val="fr-CA"/>
        </w:rPr>
      </w:pPr>
    </w:p>
    <w:p w14:paraId="2D83865D" w14:textId="1B89E57C" w:rsidR="00073FEC" w:rsidRPr="001C5EBC" w:rsidRDefault="001C5EBC" w:rsidP="00073FEC">
      <w:pPr>
        <w:rPr>
          <w:b/>
          <w:lang w:val="fr-CA"/>
        </w:rPr>
      </w:pPr>
      <w:r w:rsidRPr="001C5EBC">
        <w:rPr>
          <w:rStyle w:val="Strong"/>
          <w:lang w:val="fr-CA"/>
        </w:rPr>
        <w:t>Articles</w:t>
      </w:r>
      <w:r w:rsidR="00A65DEF">
        <w:rPr>
          <w:rStyle w:val="Strong"/>
          <w:lang w:val="fr-CA"/>
        </w:rPr>
        <w:t xml:space="preserve"> pertinents</w:t>
      </w:r>
    </w:p>
    <w:p w14:paraId="01D696E1" w14:textId="77777777" w:rsidR="005A351B" w:rsidRPr="00A65DEF" w:rsidRDefault="00111DD5" w:rsidP="005A351B">
      <w:pPr>
        <w:spacing w:after="0"/>
        <w:rPr>
          <w:rFonts w:ascii="Rockwell" w:hAnsi="Rockwell"/>
          <w:lang w:val="fr-CA"/>
        </w:rPr>
      </w:pPr>
      <w:hyperlink r:id="rId11" w:history="1">
        <w:r w:rsidR="005A351B" w:rsidRPr="00A65DEF">
          <w:rPr>
            <w:rStyle w:val="Hyperlink"/>
            <w:rFonts w:ascii="Rockwell" w:hAnsi="Rockwell"/>
            <w:lang w:val="fr-CA"/>
          </w:rPr>
          <w:t>Winnipeg : un employé du laboratoire nati</w:t>
        </w:r>
        <w:r w:rsidR="005A351B">
          <w:rPr>
            <w:rStyle w:val="Hyperlink"/>
            <w:rFonts w:ascii="Rockwell" w:hAnsi="Rockwell"/>
            <w:lang w:val="fr-CA"/>
          </w:rPr>
          <w:t>onal potentiellement exposé à l’</w:t>
        </w:r>
        <w:proofErr w:type="spellStart"/>
        <w:r w:rsidR="005A351B" w:rsidRPr="00A65DEF">
          <w:rPr>
            <w:rStyle w:val="Hyperlink"/>
            <w:rFonts w:ascii="Rockwell" w:hAnsi="Rockwell"/>
            <w:lang w:val="fr-CA"/>
          </w:rPr>
          <w:t>Ebola</w:t>
        </w:r>
        <w:proofErr w:type="spellEnd"/>
      </w:hyperlink>
    </w:p>
    <w:p w14:paraId="32614484" w14:textId="3E243B1E" w:rsidR="00EF2F69" w:rsidRPr="001C5EBC" w:rsidRDefault="00111DD5" w:rsidP="009079E7">
      <w:pPr>
        <w:spacing w:after="0"/>
        <w:rPr>
          <w:rFonts w:ascii="Rockwell" w:hAnsi="Rockwell"/>
          <w:lang w:val="fr-CA"/>
        </w:rPr>
      </w:pPr>
      <w:hyperlink r:id="rId12" w:history="1">
        <w:proofErr w:type="spellStart"/>
        <w:r w:rsidR="00EF2F69" w:rsidRPr="001C5EBC">
          <w:rPr>
            <w:rStyle w:val="Hyperlink"/>
            <w:rFonts w:ascii="Rockwell" w:hAnsi="Rockwell"/>
            <w:lang w:val="fr-CA"/>
          </w:rPr>
          <w:t>Workers</w:t>
        </w:r>
        <w:proofErr w:type="spellEnd"/>
        <w:r w:rsidR="00EF2F69" w:rsidRPr="001C5EBC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EF2F69" w:rsidRPr="001C5EBC">
          <w:rPr>
            <w:rStyle w:val="Hyperlink"/>
            <w:rFonts w:ascii="Rockwell" w:hAnsi="Rockwell"/>
            <w:lang w:val="fr-CA"/>
          </w:rPr>
          <w:t>may</w:t>
        </w:r>
        <w:proofErr w:type="spellEnd"/>
        <w:r w:rsidR="00EF2F69" w:rsidRPr="001C5EBC">
          <w:rPr>
            <w:rStyle w:val="Hyperlink"/>
            <w:rFonts w:ascii="Rockwell" w:hAnsi="Rockwell"/>
            <w:lang w:val="fr-CA"/>
          </w:rPr>
          <w:t xml:space="preserve"> have been </w:t>
        </w:r>
        <w:proofErr w:type="spellStart"/>
        <w:r w:rsidR="00EF2F69" w:rsidRPr="001C5EBC">
          <w:rPr>
            <w:rStyle w:val="Hyperlink"/>
            <w:rFonts w:ascii="Rockwell" w:hAnsi="Rockwell"/>
            <w:lang w:val="fr-CA"/>
          </w:rPr>
          <w:t>exposed</w:t>
        </w:r>
        <w:proofErr w:type="spellEnd"/>
        <w:r w:rsidR="00EF2F69" w:rsidRPr="001C5EBC">
          <w:rPr>
            <w:rStyle w:val="Hyperlink"/>
            <w:rFonts w:ascii="Rockwell" w:hAnsi="Rockwell"/>
            <w:lang w:val="fr-CA"/>
          </w:rPr>
          <w:t xml:space="preserve"> to </w:t>
        </w:r>
        <w:proofErr w:type="spellStart"/>
        <w:r w:rsidR="00EF2F69" w:rsidRPr="001C5EBC">
          <w:rPr>
            <w:rStyle w:val="Hyperlink"/>
            <w:rFonts w:ascii="Rockwell" w:hAnsi="Rockwell"/>
            <w:lang w:val="fr-CA"/>
          </w:rPr>
          <w:t>Ebola</w:t>
        </w:r>
        <w:proofErr w:type="spellEnd"/>
        <w:r w:rsidR="00EF2F69" w:rsidRPr="001C5EBC">
          <w:rPr>
            <w:rStyle w:val="Hyperlink"/>
            <w:rFonts w:ascii="Rockwell" w:hAnsi="Rockwell"/>
            <w:lang w:val="fr-CA"/>
          </w:rPr>
          <w:t xml:space="preserve">, HIV and TB at Winnipeg </w:t>
        </w:r>
        <w:proofErr w:type="spellStart"/>
        <w:r w:rsidR="00EF2F69" w:rsidRPr="001C5EBC">
          <w:rPr>
            <w:rStyle w:val="Hyperlink"/>
            <w:rFonts w:ascii="Rockwell" w:hAnsi="Rockwell"/>
            <w:lang w:val="fr-CA"/>
          </w:rPr>
          <w:t>lab</w:t>
        </w:r>
        <w:proofErr w:type="spellEnd"/>
        <w:r w:rsidR="00EF2F69" w:rsidRPr="001C5EBC">
          <w:rPr>
            <w:rStyle w:val="Hyperlink"/>
            <w:rFonts w:ascii="Rockwell" w:hAnsi="Rockwell"/>
            <w:lang w:val="fr-CA"/>
          </w:rPr>
          <w:t xml:space="preserve">, reports </w:t>
        </w:r>
        <w:proofErr w:type="spellStart"/>
        <w:r w:rsidR="00EF2F69" w:rsidRPr="001C5EBC">
          <w:rPr>
            <w:rStyle w:val="Hyperlink"/>
            <w:rFonts w:ascii="Rockwell" w:hAnsi="Rockwell"/>
            <w:lang w:val="fr-CA"/>
          </w:rPr>
          <w:t>reveal</w:t>
        </w:r>
        <w:proofErr w:type="spellEnd"/>
      </w:hyperlink>
    </w:p>
    <w:p w14:paraId="43EF6B79" w14:textId="567CC102" w:rsidR="00D5757F" w:rsidRPr="001C5EBC" w:rsidRDefault="00111DD5" w:rsidP="009079E7">
      <w:pPr>
        <w:spacing w:after="0"/>
        <w:rPr>
          <w:rStyle w:val="Hyperlink"/>
          <w:rFonts w:ascii="Rockwell" w:hAnsi="Rockwell"/>
          <w:lang w:val="fr-CA"/>
        </w:rPr>
      </w:pPr>
      <w:hyperlink r:id="rId13" w:history="1">
        <w:r w:rsidR="00D5757F" w:rsidRPr="001C5EBC">
          <w:rPr>
            <w:rStyle w:val="Hyperlink"/>
            <w:rFonts w:ascii="Rockwell" w:hAnsi="Rockwell"/>
            <w:lang w:val="fr-CA"/>
          </w:rPr>
          <w:t xml:space="preserve">New </w:t>
        </w:r>
        <w:proofErr w:type="spellStart"/>
        <w:r w:rsidR="00D5757F" w:rsidRPr="001C5EBC">
          <w:rPr>
            <w:rStyle w:val="Hyperlink"/>
            <w:rFonts w:ascii="Rockwell" w:hAnsi="Rockwell"/>
            <w:lang w:val="fr-CA"/>
          </w:rPr>
          <w:t>developments</w:t>
        </w:r>
        <w:proofErr w:type="spellEnd"/>
        <w:r w:rsidR="00D5757F" w:rsidRPr="001C5EBC">
          <w:rPr>
            <w:rStyle w:val="Hyperlink"/>
            <w:rFonts w:ascii="Rockwell" w:hAnsi="Rockwell"/>
            <w:lang w:val="fr-CA"/>
          </w:rPr>
          <w:t xml:space="preserve"> in case of nurse </w:t>
        </w:r>
        <w:proofErr w:type="spellStart"/>
        <w:r w:rsidR="00D5757F" w:rsidRPr="001C5EBC">
          <w:rPr>
            <w:rStyle w:val="Hyperlink"/>
            <w:rFonts w:ascii="Rockwell" w:hAnsi="Rockwell"/>
            <w:lang w:val="fr-CA"/>
          </w:rPr>
          <w:t>who</w:t>
        </w:r>
        <w:proofErr w:type="spellEnd"/>
        <w:r w:rsidR="00D5757F" w:rsidRPr="001C5EBC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D5757F" w:rsidRPr="001C5EBC">
          <w:rPr>
            <w:rStyle w:val="Hyperlink"/>
            <w:rFonts w:ascii="Rockwell" w:hAnsi="Rockwell"/>
            <w:lang w:val="fr-CA"/>
          </w:rPr>
          <w:t>allegedly</w:t>
        </w:r>
        <w:proofErr w:type="spellEnd"/>
        <w:r w:rsidR="00D5757F" w:rsidRPr="001C5EBC">
          <w:rPr>
            <w:rStyle w:val="Hyperlink"/>
            <w:rFonts w:ascii="Rockwell" w:hAnsi="Rockwell"/>
            <w:lang w:val="fr-CA"/>
          </w:rPr>
          <w:t xml:space="preserve"> </w:t>
        </w:r>
        <w:proofErr w:type="spellStart"/>
        <w:r w:rsidR="00D5757F" w:rsidRPr="001C5EBC">
          <w:rPr>
            <w:rStyle w:val="Hyperlink"/>
            <w:rFonts w:ascii="Rockwell" w:hAnsi="Rockwell"/>
            <w:lang w:val="fr-CA"/>
          </w:rPr>
          <w:t>exposed</w:t>
        </w:r>
        <w:proofErr w:type="spellEnd"/>
        <w:r w:rsidR="00D5757F" w:rsidRPr="001C5EBC">
          <w:rPr>
            <w:rStyle w:val="Hyperlink"/>
            <w:rFonts w:ascii="Rockwell" w:hAnsi="Rockwell"/>
            <w:lang w:val="fr-CA"/>
          </w:rPr>
          <w:t xml:space="preserve"> patients to </w:t>
        </w:r>
        <w:proofErr w:type="spellStart"/>
        <w:r w:rsidR="00D5757F" w:rsidRPr="001C5EBC">
          <w:rPr>
            <w:rStyle w:val="Hyperlink"/>
            <w:rFonts w:ascii="Rockwell" w:hAnsi="Rockwell"/>
            <w:lang w:val="fr-CA"/>
          </w:rPr>
          <w:t>hepatitis</w:t>
        </w:r>
        <w:proofErr w:type="spellEnd"/>
        <w:r w:rsidR="00D5757F" w:rsidRPr="001C5EBC">
          <w:rPr>
            <w:rStyle w:val="Hyperlink"/>
            <w:rFonts w:ascii="Rockwell" w:hAnsi="Rockwell"/>
            <w:lang w:val="fr-CA"/>
          </w:rPr>
          <w:t xml:space="preserve"> C</w:t>
        </w:r>
      </w:hyperlink>
    </w:p>
    <w:p w14:paraId="412C3566" w14:textId="76C95711" w:rsidR="00D5757F" w:rsidRPr="001C5EBC" w:rsidRDefault="00111DD5" w:rsidP="009079E7">
      <w:pPr>
        <w:spacing w:after="0"/>
        <w:rPr>
          <w:lang w:val="fr-CA"/>
        </w:rPr>
      </w:pPr>
      <w:hyperlink r:id="rId14" w:history="1"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My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medical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outlook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changed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after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I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jabbed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my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finger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with</w:t>
        </w:r>
        <w:proofErr w:type="spellEnd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 xml:space="preserve"> a </w:t>
        </w:r>
        <w:proofErr w:type="spellStart"/>
        <w:r w:rsidR="009079E7" w:rsidRPr="001C5EBC">
          <w:rPr>
            <w:rStyle w:val="Hyperlink"/>
            <w:rFonts w:ascii="Rockwell" w:hAnsi="Rockwell"/>
            <w:shd w:val="clear" w:color="auto" w:fill="FFFFFF"/>
            <w:lang w:val="fr-CA"/>
          </w:rPr>
          <w:t>needle</w:t>
        </w:r>
        <w:proofErr w:type="spellEnd"/>
      </w:hyperlink>
    </w:p>
    <w:sectPr w:rsidR="00D5757F" w:rsidRPr="001C5EB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9BE2" w14:textId="77777777" w:rsidR="00111DD5" w:rsidRDefault="00111DD5" w:rsidP="00073FEC">
      <w:pPr>
        <w:spacing w:after="0" w:line="240" w:lineRule="auto"/>
      </w:pPr>
      <w:r>
        <w:separator/>
      </w:r>
    </w:p>
  </w:endnote>
  <w:endnote w:type="continuationSeparator" w:id="0">
    <w:p w14:paraId="0AA9D3D8" w14:textId="77777777" w:rsidR="00111DD5" w:rsidRDefault="00111DD5" w:rsidP="000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1FE0" w14:textId="35BBB472" w:rsidR="00073FEC" w:rsidRPr="00DC7F91" w:rsidRDefault="00DC7F91" w:rsidP="00DC7F91">
    <w:pPr>
      <w:jc w:val="center"/>
      <w:rPr>
        <w:rFonts w:ascii="Rockwell" w:hAnsi="Rockwell"/>
        <w:sz w:val="18"/>
        <w:szCs w:val="18"/>
        <w:lang w:val="fr-CA"/>
      </w:rPr>
    </w:pPr>
    <w:r w:rsidRPr="00DC7F91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C7F91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C7F91">
      <w:rPr>
        <w:rFonts w:ascii="Rockwell" w:hAnsi="Rockwell"/>
        <w:sz w:val="18"/>
        <w:szCs w:val="18"/>
        <w:lang w:val="fr-CA"/>
      </w:rPr>
      <w:t xml:space="preserve"> aujourd’hui!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0297" w14:textId="77777777" w:rsidR="00111DD5" w:rsidRDefault="00111DD5" w:rsidP="00073FEC">
      <w:pPr>
        <w:spacing w:after="0" w:line="240" w:lineRule="auto"/>
      </w:pPr>
      <w:r>
        <w:separator/>
      </w:r>
    </w:p>
  </w:footnote>
  <w:footnote w:type="continuationSeparator" w:id="0">
    <w:p w14:paraId="52BB59F2" w14:textId="77777777" w:rsidR="00111DD5" w:rsidRDefault="00111DD5" w:rsidP="000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D48" w14:textId="68B79D1B" w:rsidR="00073FEC" w:rsidRDefault="00073FEC" w:rsidP="00073FE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7130187" wp14:editId="5F2E8763">
          <wp:extent cx="2752725" cy="77192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691" cy="78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80B"/>
    <w:multiLevelType w:val="hybridMultilevel"/>
    <w:tmpl w:val="E5B60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037D"/>
    <w:multiLevelType w:val="hybridMultilevel"/>
    <w:tmpl w:val="261C4D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7ECC"/>
    <w:multiLevelType w:val="hybridMultilevel"/>
    <w:tmpl w:val="37063D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5A97"/>
    <w:multiLevelType w:val="hybridMultilevel"/>
    <w:tmpl w:val="2ABA753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xNDM2sDQxNDIwNDZV0lEKTi0uzszPAykwrgUA9nac/SwAAAA="/>
  </w:docVars>
  <w:rsids>
    <w:rsidRoot w:val="00073FEC"/>
    <w:rsid w:val="00034D2D"/>
    <w:rsid w:val="00073FEC"/>
    <w:rsid w:val="000A4A49"/>
    <w:rsid w:val="00111DD5"/>
    <w:rsid w:val="00136854"/>
    <w:rsid w:val="001516D8"/>
    <w:rsid w:val="00161D4D"/>
    <w:rsid w:val="00190424"/>
    <w:rsid w:val="001C5EBC"/>
    <w:rsid w:val="003D7D68"/>
    <w:rsid w:val="00402361"/>
    <w:rsid w:val="00421C04"/>
    <w:rsid w:val="004453F6"/>
    <w:rsid w:val="004646B0"/>
    <w:rsid w:val="004B5C44"/>
    <w:rsid w:val="00504ECC"/>
    <w:rsid w:val="005260D1"/>
    <w:rsid w:val="005A351B"/>
    <w:rsid w:val="00650EBE"/>
    <w:rsid w:val="00674271"/>
    <w:rsid w:val="00684019"/>
    <w:rsid w:val="0078717D"/>
    <w:rsid w:val="007A51EA"/>
    <w:rsid w:val="007F0DFA"/>
    <w:rsid w:val="009079E7"/>
    <w:rsid w:val="0096003B"/>
    <w:rsid w:val="009643F7"/>
    <w:rsid w:val="00984F6C"/>
    <w:rsid w:val="009A3B67"/>
    <w:rsid w:val="009B0B84"/>
    <w:rsid w:val="00A053C0"/>
    <w:rsid w:val="00A65DEF"/>
    <w:rsid w:val="00A94212"/>
    <w:rsid w:val="00AA717F"/>
    <w:rsid w:val="00AE7DA1"/>
    <w:rsid w:val="00B75685"/>
    <w:rsid w:val="00C60084"/>
    <w:rsid w:val="00C71836"/>
    <w:rsid w:val="00C7300B"/>
    <w:rsid w:val="00CF36FE"/>
    <w:rsid w:val="00CF65A1"/>
    <w:rsid w:val="00D5757F"/>
    <w:rsid w:val="00D60761"/>
    <w:rsid w:val="00DA3897"/>
    <w:rsid w:val="00DC212F"/>
    <w:rsid w:val="00DC7F91"/>
    <w:rsid w:val="00E24F49"/>
    <w:rsid w:val="00E7367A"/>
    <w:rsid w:val="00E80AC8"/>
    <w:rsid w:val="00E934DE"/>
    <w:rsid w:val="00EC5FB7"/>
    <w:rsid w:val="00EE61E2"/>
    <w:rsid w:val="00EF2F69"/>
    <w:rsid w:val="00F61855"/>
    <w:rsid w:val="00F67845"/>
    <w:rsid w:val="00F94653"/>
    <w:rsid w:val="00FF0BAF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C81"/>
  <w15:docId w15:val="{47A3D87F-B4DD-4C08-BF68-DA781BCC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E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C"/>
    <w:rPr>
      <w:lang w:val="en-CA"/>
    </w:rPr>
  </w:style>
  <w:style w:type="paragraph" w:styleId="ListParagraph">
    <w:name w:val="List Paragraph"/>
    <w:basedOn w:val="Normal"/>
    <w:uiPriority w:val="34"/>
    <w:qFormat/>
    <w:rsid w:val="000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0424"/>
    <w:rPr>
      <w:color w:val="954F72" w:themeColor="followedHyperlink"/>
      <w:u w:val="single"/>
    </w:rPr>
  </w:style>
  <w:style w:type="paragraph" w:customStyle="1" w:styleId="CSMLS-Heading">
    <w:name w:val="CSMLS-Heading"/>
    <w:link w:val="CSMLS-HeadingChar"/>
    <w:qFormat/>
    <w:rsid w:val="00EF2F69"/>
    <w:pPr>
      <w:keepLines/>
      <w:suppressAutoHyphens/>
      <w:spacing w:before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EF2F69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D1"/>
    <w:rPr>
      <w:rFonts w:ascii="Tahoma" w:hAnsi="Tahoma" w:cs="Tahoma"/>
      <w:sz w:val="16"/>
      <w:szCs w:val="16"/>
      <w:lang w:val="en-CA"/>
    </w:rPr>
  </w:style>
  <w:style w:type="character" w:styleId="Strong">
    <w:name w:val="Strong"/>
    <w:basedOn w:val="DefaultParagraphFont"/>
    <w:uiPriority w:val="22"/>
    <w:qFormat/>
    <w:rsid w:val="001C5EBC"/>
    <w:rPr>
      <w:rFonts w:ascii="Century Gothic" w:hAnsi="Century Gothic"/>
      <w:b/>
      <w:bCs/>
      <w:sz w:val="20"/>
      <w:szCs w:val="20"/>
    </w:rPr>
  </w:style>
  <w:style w:type="paragraph" w:customStyle="1" w:styleId="CSMLS-SubHeading">
    <w:name w:val="CSMLS-SubHeading"/>
    <w:next w:val="Normal"/>
    <w:qFormat/>
    <w:rsid w:val="001C5EBC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39"/>
    <w:unhideWhenUsed/>
    <w:rsid w:val="00A9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atharinesstandard.ca/news-story/9230279-contaminated-needle-used-to-draw-blood-from-child-at-st-catharines-hospital/" TargetMode="External"/><Relationship Id="rId13" Type="http://schemas.openxmlformats.org/officeDocument/2006/relationships/hyperlink" Target="https://www.yahoo.com/lifestyle/hospital-sued-nurse-allegedly-exposed-patients-hepatitis-c-17141111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c.ca/news/canada/manitoba/iteam/microbiology-lab-winnipeg-ebola-hiv-tb-1.39625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i.radio-canada.ca/nouvelle/813473/ebola-laboratoire-winnipeg-employe-expose-porcs?depuisRecherche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smls.org/About-Us/Our-Members/Code-of-Conduct.aspx?lang=fr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A-propos-de-nous/Nos-membres/Code-de-deontologie.aspx?lang=fr-CA" TargetMode="External"/><Relationship Id="rId14" Type="http://schemas.openxmlformats.org/officeDocument/2006/relationships/hyperlink" Target="https://www.theguardian.com/healthcare-network/2017/sep/07/medical-outlook-changed-jabbed-finger-need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58F4BD4F-A358-4B1E-AAD6-C5A854F1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Mantifel, Lisa</dc:creator>
  <cp:lastModifiedBy>Laura Zychla</cp:lastModifiedBy>
  <cp:revision>2</cp:revision>
  <dcterms:created xsi:type="dcterms:W3CDTF">2019-06-07T16:31:00Z</dcterms:created>
  <dcterms:modified xsi:type="dcterms:W3CDTF">2019-06-07T16:31:00Z</dcterms:modified>
</cp:coreProperties>
</file>