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9707" w14:textId="77777777" w:rsidR="00D71BD2" w:rsidRDefault="00D71BD2">
      <w:pPr>
        <w:jc w:val="center"/>
      </w:pPr>
    </w:p>
    <w:p w14:paraId="3579D803" w14:textId="5DCCAF3D" w:rsidR="00D71BD2" w:rsidRDefault="005D17A8">
      <w:pPr>
        <w:pBdr>
          <w:top w:val="nil"/>
          <w:left w:val="nil"/>
          <w:bottom w:val="nil"/>
          <w:right w:val="nil"/>
          <w:between w:val="nil"/>
        </w:pBdr>
        <w:spacing w:line="240" w:lineRule="auto"/>
        <w:rPr>
          <w:rFonts w:ascii="Century Gothic" w:eastAsia="Century Gothic" w:hAnsi="Century Gothic" w:cs="Century Gothic"/>
          <w:color w:val="0078AE"/>
          <w:sz w:val="32"/>
          <w:szCs w:val="32"/>
        </w:rPr>
      </w:pPr>
      <w:r>
        <w:rPr>
          <w:rFonts w:ascii="Century Gothic" w:eastAsia="Century Gothic" w:hAnsi="Century Gothic" w:cs="Century Gothic"/>
          <w:color w:val="0078AE"/>
          <w:sz w:val="32"/>
          <w:szCs w:val="32"/>
        </w:rPr>
        <w:t xml:space="preserve">Ethics on Demand – Vaccines for Healthcare </w:t>
      </w:r>
      <w:r w:rsidR="00343C1F">
        <w:rPr>
          <w:rFonts w:ascii="Century Gothic" w:eastAsia="Century Gothic" w:hAnsi="Century Gothic" w:cs="Century Gothic"/>
          <w:color w:val="0078AE"/>
          <w:sz w:val="32"/>
          <w:szCs w:val="32"/>
        </w:rPr>
        <w:t>W</w:t>
      </w:r>
      <w:r>
        <w:rPr>
          <w:rFonts w:ascii="Century Gothic" w:eastAsia="Century Gothic" w:hAnsi="Century Gothic" w:cs="Century Gothic"/>
          <w:color w:val="0078AE"/>
          <w:sz w:val="32"/>
          <w:szCs w:val="32"/>
        </w:rPr>
        <w:t>orkers</w:t>
      </w:r>
    </w:p>
    <w:p w14:paraId="1E60B738" w14:textId="77777777" w:rsidR="00D71BD2" w:rsidRPr="00E53192" w:rsidRDefault="005D17A8" w:rsidP="00E53192">
      <w:pPr>
        <w:pBdr>
          <w:top w:val="nil"/>
          <w:left w:val="nil"/>
          <w:bottom w:val="nil"/>
          <w:right w:val="nil"/>
          <w:between w:val="nil"/>
        </w:pBdr>
        <w:spacing w:before="240" w:line="240" w:lineRule="auto"/>
        <w:rPr>
          <w:rFonts w:ascii="Century Gothic" w:eastAsia="Century Gothic" w:hAnsi="Century Gothic" w:cs="Century Gothic"/>
          <w:b/>
          <w:color w:val="333333"/>
          <w:sz w:val="20"/>
          <w:szCs w:val="20"/>
        </w:rPr>
      </w:pPr>
      <w:r w:rsidRPr="00E53192">
        <w:rPr>
          <w:rFonts w:ascii="Century Gothic" w:eastAsia="Century Gothic" w:hAnsi="Century Gothic" w:cs="Century Gothic"/>
          <w:b/>
          <w:color w:val="000000"/>
          <w:sz w:val="20"/>
          <w:szCs w:val="20"/>
        </w:rPr>
        <w:t xml:space="preserve">Article: </w:t>
      </w:r>
      <w:hyperlink r:id="rId7">
        <w:r w:rsidRPr="00E53192">
          <w:rPr>
            <w:rFonts w:ascii="Century Gothic" w:eastAsia="Century Gothic" w:hAnsi="Century Gothic" w:cs="Century Gothic"/>
            <w:b/>
            <w:color w:val="1155CC"/>
            <w:sz w:val="20"/>
            <w:szCs w:val="20"/>
            <w:u w:val="single"/>
          </w:rPr>
          <w:t>Lab Tech Accidentally Injects Herself with Smallpox-Related Virus</w:t>
        </w:r>
      </w:hyperlink>
    </w:p>
    <w:p w14:paraId="7F61A7CC" w14:textId="77777777" w:rsidR="00D71BD2" w:rsidRDefault="005D17A8">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was the situation?</w:t>
      </w:r>
    </w:p>
    <w:p w14:paraId="4B02E07C" w14:textId="4E83CA15" w:rsidR="00E372A4" w:rsidRDefault="005D17A8" w:rsidP="00EA130C">
      <w:pPr>
        <w:spacing w:line="240" w:lineRule="auto"/>
        <w:rPr>
          <w:rFonts w:ascii="Rockwell" w:eastAsia="Rockwell" w:hAnsi="Rockwell" w:cs="Rockwell"/>
        </w:rPr>
      </w:pPr>
      <w:r>
        <w:rPr>
          <w:rFonts w:ascii="Rockwell" w:eastAsia="Rockwell" w:hAnsi="Rockwell" w:cs="Rockwell"/>
        </w:rPr>
        <w:t xml:space="preserve">A lab worker in San Diego became infected with a smallpox-related virus </w:t>
      </w:r>
      <w:r w:rsidR="00E53192">
        <w:rPr>
          <w:rFonts w:ascii="Rockwell" w:eastAsia="Rockwell" w:hAnsi="Rockwell" w:cs="Rockwell"/>
        </w:rPr>
        <w:t xml:space="preserve">(vaccinia) </w:t>
      </w:r>
      <w:r>
        <w:rPr>
          <w:rFonts w:ascii="Rockwell" w:eastAsia="Rockwell" w:hAnsi="Rockwell" w:cs="Rockwell"/>
        </w:rPr>
        <w:t>after she accidentally stuck her finger with a needle. The infection caused the tip of the woman's finger to swell and turn black</w:t>
      </w:r>
      <w:r w:rsidR="00E53192">
        <w:rPr>
          <w:rFonts w:ascii="Rockwell" w:eastAsia="Rockwell" w:hAnsi="Rockwell" w:cs="Rockwell"/>
        </w:rPr>
        <w:t>, taking three months to heal</w:t>
      </w:r>
      <w:r>
        <w:rPr>
          <w:rFonts w:ascii="Rockwell" w:eastAsia="Rockwell" w:hAnsi="Rockwell" w:cs="Rockwell"/>
        </w:rPr>
        <w:t xml:space="preserve">. </w:t>
      </w:r>
      <w:r w:rsidR="00E53192">
        <w:rPr>
          <w:rFonts w:ascii="Rockwell" w:eastAsia="Rockwell" w:hAnsi="Rockwell" w:cs="Rockwell"/>
        </w:rPr>
        <w:t xml:space="preserve">Although the lab worker was </w:t>
      </w:r>
      <w:r w:rsidR="00E53192" w:rsidRPr="00E372A4">
        <w:rPr>
          <w:rFonts w:ascii="Rockwell" w:eastAsia="Rockwell" w:hAnsi="Rockwell" w:cs="Rockwell"/>
        </w:rPr>
        <w:t>offered the smallpox vaccine</w:t>
      </w:r>
      <w:r w:rsidR="000551A8">
        <w:rPr>
          <w:rFonts w:ascii="Rockwell" w:eastAsia="Rockwell" w:hAnsi="Rockwell" w:cs="Rockwell"/>
        </w:rPr>
        <w:t xml:space="preserve"> before the incident</w:t>
      </w:r>
      <w:r w:rsidR="00E53192" w:rsidRPr="00E372A4">
        <w:rPr>
          <w:rFonts w:ascii="Rockwell" w:eastAsia="Rockwell" w:hAnsi="Rockwell" w:cs="Rockwell"/>
        </w:rPr>
        <w:t>, she declined the vaccination</w:t>
      </w:r>
      <w:r w:rsidR="00E372A4">
        <w:rPr>
          <w:rFonts w:ascii="Rockwell" w:eastAsia="Rockwell" w:hAnsi="Rockwell" w:cs="Rockwell"/>
          <w:highlight w:val="white"/>
        </w:rPr>
        <w:t xml:space="preserve"> as </w:t>
      </w:r>
      <w:r w:rsidR="00E372A4" w:rsidRPr="00E372A4">
        <w:rPr>
          <w:rFonts w:ascii="Rockwell" w:eastAsia="Rockwell" w:hAnsi="Rockwell" w:cs="Rockwell"/>
        </w:rPr>
        <w:t>she "did not appreciate the extent of infection that could occur"</w:t>
      </w:r>
      <w:r w:rsidR="00E372A4">
        <w:rPr>
          <w:rFonts w:ascii="Rockwell" w:eastAsia="Rockwell" w:hAnsi="Rockwell" w:cs="Rockwell"/>
        </w:rPr>
        <w:t xml:space="preserve"> and </w:t>
      </w:r>
      <w:r w:rsidR="000551A8">
        <w:rPr>
          <w:rFonts w:ascii="Rockwell" w:eastAsia="Rockwell" w:hAnsi="Rockwell" w:cs="Rockwell"/>
        </w:rPr>
        <w:t xml:space="preserve">she believed </w:t>
      </w:r>
      <w:r w:rsidR="00872CFC">
        <w:rPr>
          <w:rFonts w:ascii="Rockwell" w:eastAsia="Rockwell" w:hAnsi="Rockwell" w:cs="Rockwell"/>
        </w:rPr>
        <w:t>that the potential</w:t>
      </w:r>
      <w:r w:rsidR="00E372A4" w:rsidRPr="00E372A4">
        <w:rPr>
          <w:rFonts w:ascii="Rockwell" w:eastAsia="Rockwell" w:hAnsi="Rockwell" w:cs="Rockwell"/>
        </w:rPr>
        <w:t xml:space="preserve"> </w:t>
      </w:r>
      <w:r w:rsidR="00E372A4">
        <w:rPr>
          <w:rFonts w:ascii="Rockwell" w:eastAsia="Rockwell" w:hAnsi="Rockwell" w:cs="Rockwell"/>
        </w:rPr>
        <w:t xml:space="preserve">side effects of the vaccine </w:t>
      </w:r>
      <w:r w:rsidR="00E372A4" w:rsidRPr="00E372A4">
        <w:rPr>
          <w:rFonts w:ascii="Rockwell" w:eastAsia="Rockwell" w:hAnsi="Rockwell" w:cs="Rockwell"/>
        </w:rPr>
        <w:t>would be challenging to manage</w:t>
      </w:r>
      <w:r w:rsidR="00E372A4">
        <w:rPr>
          <w:rFonts w:ascii="Rockwell" w:eastAsia="Rockwell" w:hAnsi="Rockwell" w:cs="Rockwell"/>
        </w:rPr>
        <w:t>.</w:t>
      </w:r>
      <w:r w:rsidR="00E372A4" w:rsidRPr="00E372A4">
        <w:rPr>
          <w:rFonts w:ascii="Rockwell" w:eastAsia="Rockwell" w:hAnsi="Rockwell" w:cs="Rockwell"/>
        </w:rPr>
        <w:t xml:space="preserve"> </w:t>
      </w:r>
    </w:p>
    <w:p w14:paraId="2487AF4B" w14:textId="77777777" w:rsidR="00D71BD2" w:rsidRDefault="005D17A8">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went wrong?</w:t>
      </w:r>
    </w:p>
    <w:tbl>
      <w:tblPr>
        <w:tblStyle w:val="a"/>
        <w:tblW w:w="9345" w:type="dxa"/>
        <w:tblBorders>
          <w:top w:val="nil"/>
          <w:left w:val="nil"/>
          <w:bottom w:val="nil"/>
          <w:right w:val="nil"/>
          <w:insideH w:val="nil"/>
          <w:insideV w:val="nil"/>
        </w:tblBorders>
        <w:tblLayout w:type="fixed"/>
        <w:tblLook w:val="0400" w:firstRow="0" w:lastRow="0" w:firstColumn="0" w:lastColumn="0" w:noHBand="0" w:noVBand="1"/>
      </w:tblPr>
      <w:tblGrid>
        <w:gridCol w:w="3105"/>
        <w:gridCol w:w="3120"/>
        <w:gridCol w:w="3120"/>
      </w:tblGrid>
      <w:tr w:rsidR="00E372A4" w:rsidRPr="00E53192" w14:paraId="2EB2D8BE" w14:textId="5B4FCF83" w:rsidTr="00E372A4">
        <w:trPr>
          <w:trHeight w:val="880"/>
        </w:trPr>
        <w:tc>
          <w:tcPr>
            <w:tcW w:w="3105" w:type="dxa"/>
          </w:tcPr>
          <w:p w14:paraId="045CA239" w14:textId="77777777" w:rsidR="00E372A4" w:rsidRPr="00E53192" w:rsidRDefault="00E372A4" w:rsidP="00EA130C">
            <w:pPr>
              <w:jc w:val="center"/>
              <w:rPr>
                <w:rFonts w:ascii="Rockwell" w:eastAsia="Rockwell" w:hAnsi="Rockwell" w:cs="Rockwell"/>
              </w:rPr>
            </w:pPr>
            <w:r w:rsidRPr="00E53192">
              <w:rPr>
                <w:rFonts w:ascii="Rockwell" w:eastAsia="Rockwell" w:hAnsi="Rockwell" w:cs="Rockwell"/>
              </w:rPr>
              <w:t xml:space="preserve">Lack of advocating one’s role as a leader in the promotion of health </w:t>
            </w:r>
          </w:p>
        </w:tc>
        <w:tc>
          <w:tcPr>
            <w:tcW w:w="3120" w:type="dxa"/>
          </w:tcPr>
          <w:p w14:paraId="70C80D3E" w14:textId="57383D2A" w:rsidR="00E372A4" w:rsidRPr="00E53192" w:rsidRDefault="00E372A4" w:rsidP="00EA130C">
            <w:pPr>
              <w:spacing w:after="100"/>
              <w:jc w:val="center"/>
              <w:rPr>
                <w:rFonts w:ascii="Rockwell" w:eastAsia="Rockwell" w:hAnsi="Rockwell" w:cs="Rockwell"/>
              </w:rPr>
            </w:pPr>
            <w:r>
              <w:rPr>
                <w:rFonts w:ascii="Rockwell" w:eastAsia="Rockwell" w:hAnsi="Rockwell" w:cs="Rockwell"/>
              </w:rPr>
              <w:t xml:space="preserve">Lack of understanding in </w:t>
            </w:r>
            <w:r w:rsidRPr="00E53192">
              <w:rPr>
                <w:rFonts w:ascii="Rockwell" w:eastAsia="Rockwell" w:hAnsi="Rockwell" w:cs="Rockwell"/>
              </w:rPr>
              <w:t>risk-prone situation</w:t>
            </w:r>
          </w:p>
          <w:p w14:paraId="45B0E7A1" w14:textId="77777777" w:rsidR="00E372A4" w:rsidRPr="00E53192" w:rsidRDefault="00E372A4" w:rsidP="00EA130C">
            <w:pPr>
              <w:spacing w:after="100"/>
              <w:jc w:val="center"/>
              <w:rPr>
                <w:rFonts w:ascii="Rockwell" w:eastAsia="Rockwell" w:hAnsi="Rockwell" w:cs="Rockwell"/>
              </w:rPr>
            </w:pPr>
          </w:p>
        </w:tc>
        <w:tc>
          <w:tcPr>
            <w:tcW w:w="3120" w:type="dxa"/>
          </w:tcPr>
          <w:p w14:paraId="1FD8B22D" w14:textId="19AAB731" w:rsidR="00E372A4" w:rsidRDefault="00E372A4" w:rsidP="00EA130C">
            <w:pPr>
              <w:spacing w:after="100"/>
              <w:jc w:val="center"/>
              <w:rPr>
                <w:rFonts w:ascii="Rockwell" w:eastAsia="Rockwell" w:hAnsi="Rockwell" w:cs="Rockwell"/>
              </w:rPr>
            </w:pPr>
            <w:r>
              <w:rPr>
                <w:rFonts w:ascii="Rockwell" w:eastAsia="Rockwell" w:hAnsi="Rockwell" w:cs="Rockwell"/>
              </w:rPr>
              <w:t>Ineffective health and safety communication to staff</w:t>
            </w:r>
          </w:p>
        </w:tc>
      </w:tr>
    </w:tbl>
    <w:p w14:paraId="1E31AEEB" w14:textId="77777777" w:rsidR="00D71BD2" w:rsidRDefault="005D17A8">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Using the Code of Ethics</w:t>
      </w:r>
    </w:p>
    <w:p w14:paraId="73102231" w14:textId="77777777" w:rsidR="00D71BD2" w:rsidRDefault="005D17A8" w:rsidP="00EA130C">
      <w:pPr>
        <w:pBdr>
          <w:top w:val="nil"/>
          <w:left w:val="nil"/>
          <w:bottom w:val="nil"/>
          <w:right w:val="nil"/>
          <w:between w:val="nil"/>
        </w:pBdr>
        <w:spacing w:line="240" w:lineRule="auto"/>
        <w:rPr>
          <w:rFonts w:ascii="Rockwell" w:eastAsia="Rockwell" w:hAnsi="Rockwell" w:cs="Rockwell"/>
          <w:color w:val="000000"/>
        </w:rPr>
      </w:pPr>
      <w:r>
        <w:rPr>
          <w:rFonts w:ascii="Rockwell" w:eastAsia="Rockwell" w:hAnsi="Rockwell" w:cs="Rockwell"/>
          <w:color w:val="000000"/>
        </w:rPr>
        <w:t xml:space="preserve">The </w:t>
      </w:r>
      <w:hyperlink r:id="rId8">
        <w:r>
          <w:rPr>
            <w:rFonts w:ascii="Rockwell" w:eastAsia="Rockwell" w:hAnsi="Rockwell" w:cs="Rockwell"/>
            <w:color w:val="0000FF"/>
            <w:u w:val="single"/>
          </w:rPr>
          <w:t>CSMLS Code of Ethics</w:t>
        </w:r>
      </w:hyperlink>
      <w:r>
        <w:rPr>
          <w:rFonts w:ascii="Rockwell" w:eastAsia="Rockwell" w:hAnsi="Rockwell" w:cs="Rockwell"/>
          <w:color w:val="3F3F3F"/>
        </w:rPr>
        <w:t xml:space="preserve"> </w:t>
      </w:r>
      <w:r>
        <w:rPr>
          <w:rFonts w:ascii="Rockwell" w:eastAsia="Rockwell" w:hAnsi="Rockwell" w:cs="Rockwell"/>
          <w:color w:val="000000"/>
        </w:rPr>
        <w:t xml:space="preserve">serves to define and expand the inherent ethical concepts contained in the </w:t>
      </w:r>
      <w:hyperlink r:id="rId9">
        <w:r>
          <w:rPr>
            <w:rFonts w:ascii="Rockwell" w:eastAsia="Rockwell" w:hAnsi="Rockwell" w:cs="Rockwell"/>
            <w:color w:val="0000FF"/>
            <w:u w:val="single"/>
          </w:rPr>
          <w:t>CSMLS Code of Professional Conduct</w:t>
        </w:r>
      </w:hyperlink>
      <w:r>
        <w:rPr>
          <w:rFonts w:ascii="Rockwell" w:eastAsia="Rockwell" w:hAnsi="Rockwell" w:cs="Rockwell"/>
          <w:color w:val="000000"/>
        </w:rPr>
        <w:t>, document expectations of ethical behaviour for all medical laboratory professionals and provide a framework during professional and personal self-evaluation. Consider how adhering to these codes could have prevented the situation. What other codes are applicable?</w:t>
      </w:r>
    </w:p>
    <w:p w14:paraId="4CFCB42D" w14:textId="77777777" w:rsidR="00D71BD2" w:rsidRDefault="005D17A8" w:rsidP="00EA130C">
      <w:pPr>
        <w:spacing w:after="0" w:line="240" w:lineRule="auto"/>
        <w:rPr>
          <w:rFonts w:ascii="Rockwell" w:eastAsia="Rockwell" w:hAnsi="Rockwell" w:cs="Rockwell"/>
          <w:i/>
        </w:rPr>
      </w:pPr>
      <w:r>
        <w:rPr>
          <w:rFonts w:ascii="Rockwell" w:eastAsia="Rockwell" w:hAnsi="Rockwell" w:cs="Rockwell"/>
          <w:i/>
        </w:rPr>
        <w:t>Code of Ethics</w:t>
      </w:r>
    </w:p>
    <w:p w14:paraId="1598FE4A" w14:textId="4F677792" w:rsidR="00D71BD2" w:rsidRPr="00E53192" w:rsidRDefault="005D17A8" w:rsidP="00EA130C">
      <w:pPr>
        <w:numPr>
          <w:ilvl w:val="0"/>
          <w:numId w:val="2"/>
        </w:numPr>
        <w:pBdr>
          <w:top w:val="nil"/>
          <w:left w:val="nil"/>
          <w:bottom w:val="nil"/>
          <w:right w:val="nil"/>
          <w:between w:val="nil"/>
        </w:pBdr>
        <w:spacing w:after="0" w:line="240" w:lineRule="auto"/>
        <w:rPr>
          <w:rFonts w:ascii="Rockwell" w:eastAsia="Rockwell" w:hAnsi="Rockwell" w:cs="Rockwell"/>
        </w:rPr>
      </w:pPr>
      <w:r w:rsidRPr="00E53192">
        <w:rPr>
          <w:rFonts w:ascii="Rockwell" w:eastAsia="Rockwell" w:hAnsi="Rockwell" w:cs="Rockwell"/>
        </w:rPr>
        <w:t>1.3 Recognize risk prone situations in order to minimize harm to patients, staff and self.</w:t>
      </w:r>
    </w:p>
    <w:p w14:paraId="29600B7D" w14:textId="3CC22316" w:rsidR="00D71BD2" w:rsidRPr="00E53192" w:rsidRDefault="005D17A8" w:rsidP="00EA130C">
      <w:pPr>
        <w:numPr>
          <w:ilvl w:val="0"/>
          <w:numId w:val="2"/>
        </w:numPr>
        <w:pBdr>
          <w:top w:val="nil"/>
          <w:left w:val="nil"/>
          <w:bottom w:val="nil"/>
          <w:right w:val="nil"/>
          <w:between w:val="nil"/>
        </w:pBdr>
        <w:spacing w:after="0" w:line="240" w:lineRule="auto"/>
        <w:rPr>
          <w:rFonts w:ascii="Rockwell" w:eastAsia="Rockwell" w:hAnsi="Rockwell" w:cs="Rockwell"/>
        </w:rPr>
      </w:pPr>
      <w:r w:rsidRPr="00E53192">
        <w:rPr>
          <w:rFonts w:ascii="Rockwell" w:eastAsia="Rockwell" w:hAnsi="Rockwell" w:cs="Rockwell"/>
        </w:rPr>
        <w:t>1.5 Assume responsibility for errors one has committed or observed and take immediate action to prevent or minimize associated harm.</w:t>
      </w:r>
    </w:p>
    <w:p w14:paraId="64A5937F" w14:textId="79B2F5B9" w:rsidR="00D71BD2" w:rsidRPr="00E53192" w:rsidRDefault="005D17A8" w:rsidP="00EA130C">
      <w:pPr>
        <w:numPr>
          <w:ilvl w:val="0"/>
          <w:numId w:val="2"/>
        </w:numPr>
        <w:pBdr>
          <w:top w:val="nil"/>
          <w:left w:val="nil"/>
          <w:bottom w:val="nil"/>
          <w:right w:val="nil"/>
          <w:between w:val="nil"/>
        </w:pBdr>
        <w:spacing w:line="240" w:lineRule="auto"/>
        <w:rPr>
          <w:rFonts w:ascii="Rockwell" w:eastAsia="Rockwell" w:hAnsi="Rockwell" w:cs="Rockwell"/>
        </w:rPr>
      </w:pPr>
      <w:r w:rsidRPr="00E53192">
        <w:rPr>
          <w:rFonts w:ascii="Rockwell" w:eastAsia="Rockwell" w:hAnsi="Rockwell" w:cs="Rockwell"/>
        </w:rPr>
        <w:t>1.6 Advocate for working environments that support safe, competent and ethical practices.</w:t>
      </w:r>
    </w:p>
    <w:p w14:paraId="3F186E37" w14:textId="77777777" w:rsidR="00D71BD2" w:rsidRDefault="005D17A8" w:rsidP="00EA130C">
      <w:pPr>
        <w:spacing w:after="0" w:line="240" w:lineRule="auto"/>
        <w:rPr>
          <w:rFonts w:ascii="Rockwell" w:eastAsia="Rockwell" w:hAnsi="Rockwell" w:cs="Rockwell"/>
          <w:i/>
        </w:rPr>
      </w:pPr>
      <w:r>
        <w:rPr>
          <w:rFonts w:ascii="Rockwell" w:eastAsia="Rockwell" w:hAnsi="Rockwell" w:cs="Rockwell"/>
          <w:i/>
        </w:rPr>
        <w:t>Code of Professional Conduct</w:t>
      </w:r>
      <w:bookmarkStart w:id="0" w:name="_GoBack"/>
      <w:bookmarkEnd w:id="0"/>
    </w:p>
    <w:p w14:paraId="27491038" w14:textId="45429004" w:rsidR="00D71BD2" w:rsidRDefault="005D17A8" w:rsidP="00EA130C">
      <w:pPr>
        <w:numPr>
          <w:ilvl w:val="0"/>
          <w:numId w:val="1"/>
        </w:numPr>
        <w:pBdr>
          <w:top w:val="nil"/>
          <w:left w:val="nil"/>
          <w:bottom w:val="nil"/>
          <w:right w:val="nil"/>
          <w:between w:val="nil"/>
        </w:pBdr>
        <w:spacing w:after="0" w:line="240" w:lineRule="auto"/>
        <w:rPr>
          <w:rFonts w:ascii="Rockwell" w:eastAsia="Rockwell" w:hAnsi="Rockwell" w:cs="Rockwell"/>
        </w:rPr>
      </w:pPr>
      <w:r w:rsidRPr="00E53192">
        <w:rPr>
          <w:rFonts w:ascii="Rockwell" w:eastAsia="Rockwell" w:hAnsi="Rockwell" w:cs="Rockwell"/>
        </w:rPr>
        <w:t>Medical laboratory professionals shall practise safe work procedures at all times to ensure the safety of patients and co-workers and the protection of the environment.</w:t>
      </w:r>
    </w:p>
    <w:p w14:paraId="259BD2A8" w14:textId="18062220" w:rsidR="00E372A4" w:rsidRPr="00EA130C" w:rsidRDefault="00E372A4" w:rsidP="00EA130C">
      <w:pPr>
        <w:numPr>
          <w:ilvl w:val="0"/>
          <w:numId w:val="1"/>
        </w:numPr>
        <w:pBdr>
          <w:top w:val="nil"/>
          <w:left w:val="nil"/>
          <w:bottom w:val="nil"/>
          <w:right w:val="nil"/>
          <w:between w:val="nil"/>
        </w:pBdr>
        <w:spacing w:after="0" w:line="240" w:lineRule="auto"/>
        <w:rPr>
          <w:rFonts w:ascii="Rockwell" w:eastAsia="Rockwell" w:hAnsi="Rockwell" w:cs="Rockwell"/>
        </w:rPr>
      </w:pPr>
      <w:r w:rsidRPr="00EA130C">
        <w:rPr>
          <w:rFonts w:ascii="Rockwell" w:hAnsi="Rockwell" w:cs="Arial"/>
        </w:rPr>
        <w:t>Medical laboratory professionals shall endeavour to maintain and improve their skills and knowledge and keep current with scientific advances. They will uphold academic integrity in all matters of professional certification and continuing education.</w:t>
      </w:r>
    </w:p>
    <w:p w14:paraId="3E57F37A" w14:textId="7FB1C778" w:rsidR="00EA130C" w:rsidRPr="00EA130C" w:rsidRDefault="00EA130C" w:rsidP="00EA130C">
      <w:pPr>
        <w:numPr>
          <w:ilvl w:val="0"/>
          <w:numId w:val="1"/>
        </w:numPr>
        <w:pBdr>
          <w:top w:val="nil"/>
          <w:left w:val="nil"/>
          <w:bottom w:val="nil"/>
          <w:right w:val="nil"/>
          <w:between w:val="nil"/>
        </w:pBdr>
        <w:spacing w:after="0" w:line="240" w:lineRule="auto"/>
        <w:rPr>
          <w:rFonts w:ascii="Rockwell" w:eastAsia="Rockwell" w:hAnsi="Rockwell" w:cs="Rockwell"/>
        </w:rPr>
      </w:pPr>
      <w:r w:rsidRPr="00EA130C">
        <w:rPr>
          <w:rFonts w:ascii="Rockwell" w:hAnsi="Rockwell" w:cs="Arial"/>
        </w:rPr>
        <w:t>Medical laboratory professionals shall share their knowledge with colleagues and promote learning.</w:t>
      </w:r>
    </w:p>
    <w:p w14:paraId="38FFFED3" w14:textId="7FA9D9E4" w:rsidR="00D71BD2" w:rsidRDefault="005D17A8" w:rsidP="00EA130C">
      <w:pPr>
        <w:pBdr>
          <w:top w:val="nil"/>
          <w:left w:val="nil"/>
          <w:bottom w:val="nil"/>
          <w:right w:val="nil"/>
          <w:between w:val="nil"/>
        </w:pBdr>
        <w:spacing w:before="120" w:after="0" w:line="276"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Relevant </w:t>
      </w:r>
      <w:r w:rsidR="00EA130C">
        <w:rPr>
          <w:rFonts w:ascii="Century Gothic" w:eastAsia="Century Gothic" w:hAnsi="Century Gothic" w:cs="Century Gothic"/>
          <w:b/>
          <w:color w:val="000000"/>
          <w:sz w:val="20"/>
          <w:szCs w:val="20"/>
        </w:rPr>
        <w:t>Articles</w:t>
      </w:r>
    </w:p>
    <w:bookmarkStart w:id="1" w:name="_odkqmbagrrnt" w:colFirst="0" w:colLast="0"/>
    <w:bookmarkEnd w:id="1"/>
    <w:p w14:paraId="4FDFAD42" w14:textId="77777777" w:rsidR="00D71BD2" w:rsidRPr="00E53192" w:rsidRDefault="005D17A8" w:rsidP="00EA130C">
      <w:pPr>
        <w:pStyle w:val="Heading1"/>
        <w:spacing w:before="0"/>
        <w:rPr>
          <w:rFonts w:ascii="Rockwell" w:eastAsia="Rockwell" w:hAnsi="Rockwell" w:cs="Rockwell"/>
          <w:color w:val="212121"/>
          <w:sz w:val="22"/>
          <w:szCs w:val="22"/>
        </w:rPr>
      </w:pPr>
      <w:r w:rsidRPr="00E53192">
        <w:rPr>
          <w:rFonts w:ascii="Rockwell" w:hAnsi="Rockwell"/>
          <w:sz w:val="22"/>
          <w:szCs w:val="22"/>
        </w:rPr>
        <w:fldChar w:fldCharType="begin"/>
      </w:r>
      <w:r w:rsidRPr="00E53192">
        <w:rPr>
          <w:rFonts w:ascii="Rockwell" w:hAnsi="Rockwell"/>
          <w:sz w:val="22"/>
          <w:szCs w:val="22"/>
        </w:rPr>
        <w:instrText xml:space="preserve"> HYPERLINK "https://www.thelocal.it/20181115/mandatory-vaccines-to-continue-in-italy-after-measles-outbreaks" \h </w:instrText>
      </w:r>
      <w:r w:rsidRPr="00E53192">
        <w:rPr>
          <w:rFonts w:ascii="Rockwell" w:hAnsi="Rockwell"/>
          <w:sz w:val="22"/>
          <w:szCs w:val="22"/>
        </w:rPr>
        <w:fldChar w:fldCharType="separate"/>
      </w:r>
      <w:r w:rsidRPr="00E53192">
        <w:rPr>
          <w:rFonts w:ascii="Rockwell" w:eastAsia="Rockwell" w:hAnsi="Rockwell" w:cs="Rockwell"/>
          <w:color w:val="1155CC"/>
          <w:sz w:val="22"/>
          <w:szCs w:val="22"/>
          <w:u w:val="single"/>
        </w:rPr>
        <w:t>Mandatory vaccines to continue in Italy after measles outbreaks</w:t>
      </w:r>
      <w:r w:rsidRPr="00E53192">
        <w:rPr>
          <w:rFonts w:ascii="Rockwell" w:eastAsia="Rockwell" w:hAnsi="Rockwell" w:cs="Rockwell"/>
          <w:color w:val="1155CC"/>
          <w:sz w:val="22"/>
          <w:szCs w:val="22"/>
          <w:u w:val="single"/>
        </w:rPr>
        <w:fldChar w:fldCharType="end"/>
      </w:r>
    </w:p>
    <w:p w14:paraId="25A8556D" w14:textId="41D11DCF" w:rsidR="00D71BD2" w:rsidRDefault="00A325BC" w:rsidP="00C22684">
      <w:pPr>
        <w:spacing w:after="0"/>
        <w:rPr>
          <w:rFonts w:ascii="Rockwell" w:eastAsia="Rockwell" w:hAnsi="Rockwell" w:cs="Rockwell"/>
          <w:color w:val="1155CC"/>
          <w:u w:val="single"/>
        </w:rPr>
      </w:pPr>
      <w:hyperlink r:id="rId10">
        <w:r w:rsidR="005D17A8" w:rsidRPr="00E53192">
          <w:rPr>
            <w:rFonts w:ascii="Rockwell" w:eastAsia="Rockwell" w:hAnsi="Rockwell" w:cs="Rockwell"/>
            <w:color w:val="1155CC"/>
            <w:u w:val="single"/>
          </w:rPr>
          <w:t xml:space="preserve">Are Your Healthcare Workers Armed </w:t>
        </w:r>
        <w:proofErr w:type="gramStart"/>
        <w:r w:rsidR="005D17A8" w:rsidRPr="00E53192">
          <w:rPr>
            <w:rFonts w:ascii="Rockwell" w:eastAsia="Rockwell" w:hAnsi="Rockwell" w:cs="Rockwell"/>
            <w:color w:val="1155CC"/>
            <w:u w:val="single"/>
          </w:rPr>
          <w:t>With</w:t>
        </w:r>
        <w:proofErr w:type="gramEnd"/>
        <w:r w:rsidR="005D17A8" w:rsidRPr="00E53192">
          <w:rPr>
            <w:rFonts w:ascii="Rockwell" w:eastAsia="Rockwell" w:hAnsi="Rockwell" w:cs="Rockwell"/>
            <w:color w:val="1155CC"/>
            <w:u w:val="single"/>
          </w:rPr>
          <w:t xml:space="preserve"> the Right Vaccinations?</w:t>
        </w:r>
      </w:hyperlink>
      <w:bookmarkStart w:id="2" w:name="_o6ny3sd6vms" w:colFirst="0" w:colLast="0"/>
      <w:bookmarkEnd w:id="2"/>
    </w:p>
    <w:p w14:paraId="45E206B2" w14:textId="27708FC3" w:rsidR="00D71BD2" w:rsidRDefault="00A325BC">
      <w:hyperlink r:id="rId11" w:history="1">
        <w:r w:rsidR="00C22684" w:rsidRPr="00C22684">
          <w:rPr>
            <w:rStyle w:val="Hyperlink"/>
            <w:rFonts w:ascii="Rockwell" w:eastAsia="Rockwell" w:hAnsi="Rockwell" w:cs="Rockwell"/>
          </w:rPr>
          <w:t>Human error in high-biocontainment labs: a likely pandemic threat</w:t>
        </w:r>
      </w:hyperlink>
      <w:bookmarkStart w:id="3" w:name="_30j0zll" w:colFirst="0" w:colLast="0"/>
      <w:bookmarkEnd w:id="3"/>
    </w:p>
    <w:sectPr w:rsidR="00D71BD2">
      <w:headerReference w:type="default" r:id="rId12"/>
      <w:footerReference w:type="default" r:id="rId13"/>
      <w:pgSz w:w="12240" w:h="15840"/>
      <w:pgMar w:top="1080" w:right="1440" w:bottom="144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BDD3" w14:textId="77777777" w:rsidR="00A325BC" w:rsidRDefault="00A325BC">
      <w:pPr>
        <w:spacing w:after="0" w:line="240" w:lineRule="auto"/>
      </w:pPr>
      <w:r>
        <w:separator/>
      </w:r>
    </w:p>
  </w:endnote>
  <w:endnote w:type="continuationSeparator" w:id="0">
    <w:p w14:paraId="633F5DA3" w14:textId="77777777" w:rsidR="00A325BC" w:rsidRDefault="00A3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A7" w14:textId="77777777" w:rsidR="00D71BD2" w:rsidRDefault="005D17A8">
    <w:pPr>
      <w:jc w:val="center"/>
      <w:rPr>
        <w:rFonts w:ascii="Rockwell" w:eastAsia="Rockwell" w:hAnsi="Rockwell" w:cs="Rockwell"/>
        <w:sz w:val="18"/>
        <w:szCs w:val="18"/>
      </w:rPr>
    </w:pPr>
    <w:r>
      <w:rPr>
        <w:rFonts w:ascii="Rockwell" w:eastAsia="Rockwell" w:hAnsi="Rockwell" w:cs="Rockwell"/>
        <w:sz w:val="18"/>
        <w:szCs w:val="18"/>
      </w:rPr>
      <w:t xml:space="preserve">Take the </w:t>
    </w:r>
    <w:hyperlink r:id="rId1">
      <w:r>
        <w:rPr>
          <w:rFonts w:ascii="Rockwell" w:eastAsia="Rockwell" w:hAnsi="Rockwell" w:cs="Rockwell"/>
          <w:color w:val="0000FF"/>
          <w:sz w:val="18"/>
          <w:szCs w:val="18"/>
          <w:u w:val="single"/>
        </w:rPr>
        <w:t>free CSMLS Code of Ethics course</w:t>
      </w:r>
    </w:hyperlink>
    <w:r>
      <w:rPr>
        <w:rFonts w:ascii="Rockwell" w:eastAsia="Rockwell" w:hAnsi="Rockwell" w:cs="Rockwell"/>
        <w:sz w:val="18"/>
        <w:szCs w:val="18"/>
      </w:rPr>
      <w:t xml:space="preserve"> today!</w:t>
    </w:r>
  </w:p>
  <w:p w14:paraId="15BF7687" w14:textId="77777777" w:rsidR="00D71BD2" w:rsidRDefault="00D71B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0A1C" w14:textId="77777777" w:rsidR="00A325BC" w:rsidRDefault="00A325BC">
      <w:pPr>
        <w:spacing w:after="0" w:line="240" w:lineRule="auto"/>
      </w:pPr>
      <w:r>
        <w:separator/>
      </w:r>
    </w:p>
  </w:footnote>
  <w:footnote w:type="continuationSeparator" w:id="0">
    <w:p w14:paraId="3F757AE0" w14:textId="77777777" w:rsidR="00A325BC" w:rsidRDefault="00A32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BCCD" w14:textId="77777777" w:rsidR="00D71BD2" w:rsidRDefault="005D17A8">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92B458C" wp14:editId="3C180625">
          <wp:extent cx="2553093" cy="7159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91C43"/>
    <w:multiLevelType w:val="multilevel"/>
    <w:tmpl w:val="F3828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8F6663"/>
    <w:multiLevelType w:val="multilevel"/>
    <w:tmpl w:val="7ED64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MjOytDS3sLA0NjBR0lEKTi0uzszPAykwrgUAGOzjxCwAAAA="/>
  </w:docVars>
  <w:rsids>
    <w:rsidRoot w:val="00D71BD2"/>
    <w:rsid w:val="000551A8"/>
    <w:rsid w:val="00120D54"/>
    <w:rsid w:val="001F20DA"/>
    <w:rsid w:val="00343C1F"/>
    <w:rsid w:val="005D17A8"/>
    <w:rsid w:val="00723D0D"/>
    <w:rsid w:val="00872CFC"/>
    <w:rsid w:val="00A325BC"/>
    <w:rsid w:val="00BC3629"/>
    <w:rsid w:val="00C22684"/>
    <w:rsid w:val="00D71BD2"/>
    <w:rsid w:val="00E372A4"/>
    <w:rsid w:val="00E53192"/>
    <w:rsid w:val="00EA130C"/>
    <w:rsid w:val="00EB2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2814"/>
  <w15:docId w15:val="{8226CBC7-ADBA-4D07-9094-110038E8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22684"/>
    <w:rPr>
      <w:color w:val="0000FF" w:themeColor="hyperlink"/>
      <w:u w:val="single"/>
    </w:rPr>
  </w:style>
  <w:style w:type="character" w:styleId="UnresolvedMention">
    <w:name w:val="Unresolved Mention"/>
    <w:basedOn w:val="DefaultParagraphFont"/>
    <w:uiPriority w:val="99"/>
    <w:semiHidden/>
    <w:unhideWhenUsed/>
    <w:rsid w:val="00C22684"/>
    <w:rPr>
      <w:color w:val="605E5C"/>
      <w:shd w:val="clear" w:color="auto" w:fill="E1DFDD"/>
    </w:rPr>
  </w:style>
  <w:style w:type="character" w:styleId="FollowedHyperlink">
    <w:name w:val="FollowedHyperlink"/>
    <w:basedOn w:val="DefaultParagraphFont"/>
    <w:uiPriority w:val="99"/>
    <w:semiHidden/>
    <w:unhideWhenUsed/>
    <w:rsid w:val="00343C1F"/>
    <w:rPr>
      <w:color w:val="800080" w:themeColor="followedHyperlink"/>
      <w:u w:val="single"/>
    </w:rPr>
  </w:style>
  <w:style w:type="character" w:styleId="CommentReference">
    <w:name w:val="annotation reference"/>
    <w:basedOn w:val="DefaultParagraphFont"/>
    <w:uiPriority w:val="99"/>
    <w:semiHidden/>
    <w:unhideWhenUsed/>
    <w:rsid w:val="00723D0D"/>
    <w:rPr>
      <w:sz w:val="16"/>
      <w:szCs w:val="16"/>
    </w:rPr>
  </w:style>
  <w:style w:type="paragraph" w:styleId="CommentText">
    <w:name w:val="annotation text"/>
    <w:basedOn w:val="Normal"/>
    <w:link w:val="CommentTextChar"/>
    <w:uiPriority w:val="99"/>
    <w:semiHidden/>
    <w:unhideWhenUsed/>
    <w:rsid w:val="00723D0D"/>
    <w:pPr>
      <w:spacing w:line="240" w:lineRule="auto"/>
    </w:pPr>
    <w:rPr>
      <w:sz w:val="20"/>
      <w:szCs w:val="20"/>
    </w:rPr>
  </w:style>
  <w:style w:type="character" w:customStyle="1" w:styleId="CommentTextChar">
    <w:name w:val="Comment Text Char"/>
    <w:basedOn w:val="DefaultParagraphFont"/>
    <w:link w:val="CommentText"/>
    <w:uiPriority w:val="99"/>
    <w:semiHidden/>
    <w:rsid w:val="00723D0D"/>
    <w:rPr>
      <w:sz w:val="20"/>
      <w:szCs w:val="20"/>
    </w:rPr>
  </w:style>
  <w:style w:type="paragraph" w:styleId="CommentSubject">
    <w:name w:val="annotation subject"/>
    <w:basedOn w:val="CommentText"/>
    <w:next w:val="CommentText"/>
    <w:link w:val="CommentSubjectChar"/>
    <w:uiPriority w:val="99"/>
    <w:semiHidden/>
    <w:unhideWhenUsed/>
    <w:rsid w:val="00723D0D"/>
    <w:rPr>
      <w:b/>
      <w:bCs/>
    </w:rPr>
  </w:style>
  <w:style w:type="character" w:customStyle="1" w:styleId="CommentSubjectChar">
    <w:name w:val="Comment Subject Char"/>
    <w:basedOn w:val="CommentTextChar"/>
    <w:link w:val="CommentSubject"/>
    <w:uiPriority w:val="99"/>
    <w:semiHidden/>
    <w:rsid w:val="00723D0D"/>
    <w:rPr>
      <w:b/>
      <w:bCs/>
      <w:sz w:val="20"/>
      <w:szCs w:val="20"/>
    </w:rPr>
  </w:style>
  <w:style w:type="paragraph" w:styleId="BalloonText">
    <w:name w:val="Balloon Text"/>
    <w:basedOn w:val="Normal"/>
    <w:link w:val="BalloonTextChar"/>
    <w:uiPriority w:val="99"/>
    <w:semiHidden/>
    <w:unhideWhenUsed/>
    <w:rsid w:val="00723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mls.org/About-Us/Our-Members/Code-of-Ethic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vescience.com/vaccinia-virus-infection-fingertip.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bulletin.org/2019/02/human-error-in-high-biocontainment-labs-a-likely-pandemic-thre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fectioncontroltoday.com/infection-preventionists/are-your-healthcare-workers-armed-right-vaccinations" TargetMode="External"/><Relationship Id="rId4" Type="http://schemas.openxmlformats.org/officeDocument/2006/relationships/webSettings" Target="webSettings.xml"/><Relationship Id="rId9" Type="http://schemas.openxmlformats.org/officeDocument/2006/relationships/hyperlink" Target="https://www.csmls.org/About-Us/Our-Members/Code-of-Conduc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dc:creator>
  <cp:lastModifiedBy>Laura Zychla</cp:lastModifiedBy>
  <cp:revision>2</cp:revision>
  <dcterms:created xsi:type="dcterms:W3CDTF">2019-11-19T21:03:00Z</dcterms:created>
  <dcterms:modified xsi:type="dcterms:W3CDTF">2019-11-19T21:03:00Z</dcterms:modified>
</cp:coreProperties>
</file>